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E3A5F"/>
          <w:sz w:val="48"/>
          <w:szCs w:val="48"/>
        </w:rPr>
        <w:t xml:space="preserve">REQUEST FOR PROPOSAL</w:t>
      </w:r>
    </w:p>
    <w:p>
      <w:pPr>
        <w:spacing w:after="60" w:before="60"/>
        <w:jc w:val="center"/>
      </w:pPr>
      <w:r>
        <w:rPr>
          <w:rFonts w:ascii="Arial" w:cs="Arial" w:eastAsia="Arial" w:hAnsi="Arial"/>
          <w:color w:val="2E6DA4"/>
          <w:sz w:val="28"/>
          <w:szCs w:val="28"/>
        </w:rPr>
        <w:t xml:space="preserve">RFP-2026-AIDMS-001</w:t>
      </w:r>
    </w:p>
    <w:p>
      <w:pPr>
        <w:spacing w:after="240" w:before="60"/>
        <w:jc w:val="center"/>
      </w:pPr>
      <w:r>
        <w:rPr>
          <w:rFonts w:ascii="Arial" w:cs="Arial" w:eastAsia="Arial" w:hAnsi="Arial"/>
          <w:b/>
          <w:bCs/>
          <w:color w:val="333333"/>
          <w:sz w:val="32"/>
          <w:szCs w:val="32"/>
        </w:rPr>
        <w:t xml:space="preserve">AI-Powered Document Management System (DMS)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4"/>
              <w:left w:val="single" w:color="1E3A5F" w:sz="4"/>
              <w:bottom w:val="single" w:color="1E3A5F" w:sz="4"/>
              <w:right w:val="single" w:color="1E3A5F" w:sz="4"/>
            </w:tcBorders>
            <w:shd w:fill="1E3A5F" w:val="clear"/>
            <w:tcMar>
              <w:top w:type="dxa" w:w="160"/>
              <w:left w:type="dxa" w:w="200"/>
              <w:bottom w:type="dxa" w:w="160"/>
              <w:right w:type="dxa" w:w="200"/>
            </w:tcMar>
          </w:tcPr>
          <w:p>
            <w:r>
              <w:rPr>
                <w:rFonts w:ascii="Arial" w:cs="Arial" w:eastAsia="Arial" w:hAnsi="Arial"/>
                <w:b/>
                <w:bCs/>
                <w:color w:val="FFFFFF"/>
                <w:sz w:val="20"/>
                <w:szCs w:val="20"/>
              </w:rPr>
              <w:t xml:space="preserve">Issuing Organization</w:t>
            </w:r>
          </w:p>
        </w:tc>
        <w:tc>
          <w:tcPr>
            <w:tcW w:type="dxa" w:w="4680"/>
            <w:tcBorders>
              <w:top w:val="single" w:color="1E3A5F" w:sz="4"/>
              <w:left w:val="single" w:color="1E3A5F" w:sz="4"/>
              <w:bottom w:val="single" w:color="1E3A5F" w:sz="4"/>
              <w:right w:val="single" w:color="1E3A5F" w:sz="4"/>
            </w:tcBorders>
            <w:tcMar>
              <w:top w:type="dxa" w:w="160"/>
              <w:left w:type="dxa" w:w="200"/>
              <w:bottom w:type="dxa" w:w="160"/>
              <w:right w:type="dxa" w:w="200"/>
            </w:tcMar>
          </w:tcPr>
          <w:p>
            <w:r>
              <w:rPr>
                <w:rFonts w:ascii="Arial" w:cs="Arial" w:eastAsia="Arial" w:hAnsi="Arial"/>
                <w:sz w:val="20"/>
                <w:szCs w:val="20"/>
              </w:rPr>
              <w:t xml:space="preserve">GlobalLogic Procurement Office</w:t>
            </w:r>
          </w:p>
        </w:tc>
      </w:tr>
      <w:tr>
        <w:tc>
          <w:tcPr>
            <w:tcW w:type="dxa" w:w="4680"/>
            <w:tcBorders>
              <w:top w:val="single" w:color="1E3A5F" w:sz="4"/>
              <w:left w:val="single" w:color="1E3A5F" w:sz="4"/>
              <w:bottom w:val="single" w:color="1E3A5F" w:sz="4"/>
              <w:right w:val="single" w:color="1E3A5F" w:sz="4"/>
            </w:tcBorders>
            <w:shd w:fill="1E3A5F" w:val="clear"/>
            <w:tcMar>
              <w:top w:type="dxa" w:w="160"/>
              <w:left w:type="dxa" w:w="200"/>
              <w:bottom w:type="dxa" w:w="160"/>
              <w:right w:type="dxa" w:w="200"/>
            </w:tcMar>
          </w:tcPr>
          <w:p>
            <w:r>
              <w:rPr>
                <w:rFonts w:ascii="Arial" w:cs="Arial" w:eastAsia="Arial" w:hAnsi="Arial"/>
                <w:b/>
                <w:bCs/>
                <w:color w:val="FFFFFF"/>
                <w:sz w:val="20"/>
                <w:szCs w:val="20"/>
              </w:rPr>
              <w:t xml:space="preserve">Issue Date</w:t>
            </w:r>
          </w:p>
        </w:tc>
        <w:tc>
          <w:tcPr>
            <w:tcW w:type="dxa" w:w="4680"/>
            <w:tcBorders>
              <w:top w:val="single" w:color="1E3A5F" w:sz="4"/>
              <w:left w:val="single" w:color="1E3A5F" w:sz="4"/>
              <w:bottom w:val="single" w:color="1E3A5F" w:sz="4"/>
              <w:right w:val="single" w:color="1E3A5F" w:sz="4"/>
            </w:tcBorders>
            <w:tcMar>
              <w:top w:type="dxa" w:w="160"/>
              <w:left w:type="dxa" w:w="200"/>
              <w:bottom w:type="dxa" w:w="160"/>
              <w:right w:type="dxa" w:w="200"/>
            </w:tcMar>
          </w:tcPr>
          <w:p>
            <w:r>
              <w:rPr>
                <w:rFonts w:ascii="Arial" w:cs="Arial" w:eastAsia="Arial" w:hAnsi="Arial"/>
                <w:sz w:val="20"/>
                <w:szCs w:val="20"/>
              </w:rPr>
              <w:t xml:space="preserve">June 11, 2026</w:t>
            </w:r>
          </w:p>
        </w:tc>
      </w:tr>
      <w:tr>
        <w:tc>
          <w:tcPr>
            <w:tcW w:type="dxa" w:w="4680"/>
            <w:tcBorders>
              <w:top w:val="single" w:color="1E3A5F" w:sz="4"/>
              <w:left w:val="single" w:color="1E3A5F" w:sz="4"/>
              <w:bottom w:val="single" w:color="1E3A5F" w:sz="4"/>
              <w:right w:val="single" w:color="1E3A5F" w:sz="4"/>
            </w:tcBorders>
            <w:shd w:fill="1E3A5F" w:val="clear"/>
            <w:tcMar>
              <w:top w:type="dxa" w:w="160"/>
              <w:left w:type="dxa" w:w="200"/>
              <w:bottom w:type="dxa" w:w="160"/>
              <w:right w:type="dxa" w:w="200"/>
            </w:tcMar>
          </w:tcPr>
          <w:p>
            <w:r>
              <w:rPr>
                <w:rFonts w:ascii="Arial" w:cs="Arial" w:eastAsia="Arial" w:hAnsi="Arial"/>
                <w:b/>
                <w:bCs/>
                <w:color w:val="FFFFFF"/>
                <w:sz w:val="20"/>
                <w:szCs w:val="20"/>
              </w:rPr>
              <w:t xml:space="preserve">Bid Submission Deadline</w:t>
            </w:r>
          </w:p>
        </w:tc>
        <w:tc>
          <w:tcPr>
            <w:tcW w:type="dxa" w:w="4680"/>
            <w:tcBorders>
              <w:top w:val="single" w:color="1E3A5F" w:sz="4"/>
              <w:left w:val="single" w:color="1E3A5F" w:sz="4"/>
              <w:bottom w:val="single" w:color="1E3A5F" w:sz="4"/>
              <w:right w:val="single" w:color="1E3A5F" w:sz="4"/>
            </w:tcBorders>
            <w:tcMar>
              <w:top w:type="dxa" w:w="160"/>
              <w:left w:type="dxa" w:w="200"/>
              <w:bottom w:type="dxa" w:w="160"/>
              <w:right w:type="dxa" w:w="200"/>
            </w:tcMar>
          </w:tcPr>
          <w:p>
            <w:r>
              <w:rPr>
                <w:rFonts w:ascii="Arial" w:cs="Arial" w:eastAsia="Arial" w:hAnsi="Arial"/>
                <w:sz w:val="20"/>
                <w:szCs w:val="20"/>
              </w:rPr>
              <w:t xml:space="preserve">July 25, 2026 — 5:00 PM IST</w:t>
            </w:r>
          </w:p>
        </w:tc>
      </w:tr>
      <w:tr>
        <w:tc>
          <w:tcPr>
            <w:tcW w:type="dxa" w:w="4680"/>
            <w:tcBorders>
              <w:top w:val="single" w:color="1E3A5F" w:sz="4"/>
              <w:left w:val="single" w:color="1E3A5F" w:sz="4"/>
              <w:bottom w:val="single" w:color="1E3A5F" w:sz="4"/>
              <w:right w:val="single" w:color="1E3A5F" w:sz="4"/>
            </w:tcBorders>
            <w:shd w:fill="1E3A5F" w:val="clear"/>
            <w:tcMar>
              <w:top w:type="dxa" w:w="160"/>
              <w:left w:type="dxa" w:w="200"/>
              <w:bottom w:type="dxa" w:w="160"/>
              <w:right w:type="dxa" w:w="200"/>
            </w:tcMar>
          </w:tcPr>
          <w:p>
            <w:r>
              <w:rPr>
                <w:rFonts w:ascii="Arial" w:cs="Arial" w:eastAsia="Arial" w:hAnsi="Arial"/>
                <w:b/>
                <w:bCs/>
                <w:color w:val="FFFFFF"/>
                <w:sz w:val="20"/>
                <w:szCs w:val="20"/>
              </w:rPr>
              <w:t xml:space="preserve">Contact</w:t>
            </w:r>
          </w:p>
        </w:tc>
        <w:tc>
          <w:tcPr>
            <w:tcW w:type="dxa" w:w="4680"/>
            <w:tcBorders>
              <w:top w:val="single" w:color="1E3A5F" w:sz="4"/>
              <w:left w:val="single" w:color="1E3A5F" w:sz="4"/>
              <w:bottom w:val="single" w:color="1E3A5F" w:sz="4"/>
              <w:right w:val="single" w:color="1E3A5F" w:sz="4"/>
            </w:tcBorders>
            <w:tcMar>
              <w:top w:type="dxa" w:w="160"/>
              <w:left w:type="dxa" w:w="200"/>
              <w:bottom w:type="dxa" w:w="160"/>
              <w:right w:type="dxa" w:w="200"/>
            </w:tcMar>
          </w:tcPr>
          <w:p>
            <w:r>
              <w:rPr>
                <w:rFonts w:ascii="Arial" w:cs="Arial" w:eastAsia="Arial" w:hAnsi="Arial"/>
                <w:sz w:val="20"/>
                <w:szCs w:val="20"/>
              </w:rPr>
              <w:t xml:space="preserve">procurement@globallogic.com</w:t>
            </w:r>
          </w:p>
        </w:tc>
      </w:tr>
    </w:tbl>
    <w:p>
      <w:pPr>
        <w:pBdr>
          <w:bottom w:val="single" w:color="1E3A5F" w:sz="6" w:space="1"/>
        </w:pBdr>
        <w:spacing w:after="120" w:before="120"/>
      </w:pPr>
    </w:p>
    <w:p>
      <w:pPr>
        <w:pStyle w:val="Heading1"/>
        <w:spacing w:after="120" w:before="360"/>
      </w:pPr>
      <w:r>
        <w:rPr>
          <w:rFonts w:ascii="Arial" w:cs="Arial" w:eastAsia="Arial" w:hAnsi="Arial"/>
          <w:b/>
          <w:bCs/>
          <w:color w:val="1E3A5F"/>
          <w:sz w:val="28"/>
          <w:szCs w:val="28"/>
        </w:rPr>
        <w:t xml:space="preserve">1. Introduction &amp; Background</w:t>
      </w:r>
    </w:p>
    <w:p>
      <w:pPr>
        <w:spacing w:after="80" w:before="80"/>
      </w:pPr>
      <w:r>
        <w:rPr>
          <w:rFonts w:ascii="Arial" w:cs="Arial" w:eastAsia="Arial" w:hAnsi="Arial"/>
          <w:sz w:val="22"/>
          <w:szCs w:val="22"/>
        </w:rPr>
        <w:t xml:space="preserve">GlobalLogic is issuing this Request for Proposal (RFP) to identify and engage a qualified vendor to design, develop, and deploy an AI-Powered Document Management System (DMS). The proposed system must leverage artificial intelligence to automate document ingestion, classification, retrieval, and lifecycle management across the organization.</w:t>
      </w:r>
    </w:p>
    <w:p>
      <w:pPr>
        <w:spacing w:after="80" w:before="80"/>
      </w:pPr>
      <w:r>
        <w:rPr>
          <w:rFonts w:ascii="Arial" w:cs="Arial" w:eastAsia="Arial" w:hAnsi="Arial"/>
          <w:sz w:val="22"/>
          <w:szCs w:val="22"/>
        </w:rPr>
        <w:t xml:space="preserve">GlobalLogic manages thousands of documents daily across legal, engineering, procurement, HR, and finance departments. Manual processes have created bottlenecks in retrieval, version control, and compliance tracking. This initiative aims to modernize our document infrastructure using AI-driven automation.</w:t>
      </w:r>
    </w:p>
    <w:p>
      <w:pPr>
        <w:pBdr>
          <w:bottom w:val="single" w:color="1E3A5F" w:sz="6" w:space="1"/>
        </w:pBdr>
        <w:spacing w:after="120" w:before="120"/>
      </w:pPr>
    </w:p>
    <w:p>
      <w:pPr>
        <w:pStyle w:val="Heading1"/>
        <w:spacing w:after="120" w:before="360"/>
      </w:pPr>
      <w:r>
        <w:rPr>
          <w:rFonts w:ascii="Arial" w:cs="Arial" w:eastAsia="Arial" w:hAnsi="Arial"/>
          <w:b/>
          <w:bCs/>
          <w:color w:val="1E3A5F"/>
          <w:sz w:val="28"/>
          <w:szCs w:val="28"/>
        </w:rPr>
        <w:t xml:space="preserve">2. Scope of Work</w:t>
      </w:r>
    </w:p>
    <w:p>
      <w:pPr>
        <w:pStyle w:val="Heading2"/>
        <w:spacing w:after="80" w:before="240"/>
      </w:pPr>
      <w:r>
        <w:rPr>
          <w:rFonts w:ascii="Arial" w:cs="Arial" w:eastAsia="Arial" w:hAnsi="Arial"/>
          <w:b/>
          <w:bCs/>
          <w:color w:val="2E6DA4"/>
          <w:sz w:val="24"/>
          <w:szCs w:val="24"/>
        </w:rPr>
        <w:t xml:space="preserve">2.1 Core System Capabilities</w:t>
      </w:r>
    </w:p>
    <w:p>
      <w:pPr>
        <w:pStyle w:val="ListParagraph"/>
        <w:numPr>
          <w:ilvl w:val="0"/>
          <w:numId w:val="2"/>
        </w:numPr>
        <w:spacing w:after="60" w:before="60"/>
      </w:pPr>
      <w:r>
        <w:rPr>
          <w:rFonts w:ascii="Arial" w:cs="Arial" w:eastAsia="Arial" w:hAnsi="Arial"/>
          <w:sz w:val="22"/>
          <w:szCs w:val="22"/>
        </w:rPr>
        <w:t xml:space="preserve">AI-powered document ingestion supporting PDF, DOCX, XLSX, PPTX, images, and scanned documents</w:t>
      </w:r>
    </w:p>
    <w:p>
      <w:pPr>
        <w:pStyle w:val="ListParagraph"/>
        <w:numPr>
          <w:ilvl w:val="0"/>
          <w:numId w:val="2"/>
        </w:numPr>
        <w:spacing w:after="60" w:before="60"/>
      </w:pPr>
      <w:r>
        <w:rPr>
          <w:rFonts w:ascii="Arial" w:cs="Arial" w:eastAsia="Arial" w:hAnsi="Arial"/>
          <w:sz w:val="22"/>
          <w:szCs w:val="22"/>
        </w:rPr>
        <w:t xml:space="preserve">Intelligent document classification using NLP/ML models with configurable taxonomy</w:t>
      </w:r>
    </w:p>
    <w:p>
      <w:pPr>
        <w:pStyle w:val="ListParagraph"/>
        <w:numPr>
          <w:ilvl w:val="0"/>
          <w:numId w:val="2"/>
        </w:numPr>
        <w:spacing w:after="60" w:before="60"/>
      </w:pPr>
      <w:r>
        <w:rPr>
          <w:rFonts w:ascii="Arial" w:cs="Arial" w:eastAsia="Arial" w:hAnsi="Arial"/>
          <w:sz w:val="22"/>
          <w:szCs w:val="22"/>
        </w:rPr>
        <w:t xml:space="preserve">Semantic search and retrieval with natural language query support</w:t>
      </w:r>
    </w:p>
    <w:p>
      <w:pPr>
        <w:pStyle w:val="ListParagraph"/>
        <w:numPr>
          <w:ilvl w:val="0"/>
          <w:numId w:val="2"/>
        </w:numPr>
        <w:spacing w:after="60" w:before="60"/>
      </w:pPr>
      <w:r>
        <w:rPr>
          <w:rFonts w:ascii="Arial" w:cs="Arial" w:eastAsia="Arial" w:hAnsi="Arial"/>
          <w:sz w:val="22"/>
          <w:szCs w:val="22"/>
        </w:rPr>
        <w:t xml:space="preserve">Automated metadata extraction (dates, entities, keywords, document type)</w:t>
      </w:r>
    </w:p>
    <w:p>
      <w:pPr>
        <w:pStyle w:val="ListParagraph"/>
        <w:numPr>
          <w:ilvl w:val="0"/>
          <w:numId w:val="2"/>
        </w:numPr>
        <w:spacing w:after="60" w:before="60"/>
      </w:pPr>
      <w:r>
        <w:rPr>
          <w:rFonts w:ascii="Arial" w:cs="Arial" w:eastAsia="Arial" w:hAnsi="Arial"/>
          <w:sz w:val="22"/>
          <w:szCs w:val="22"/>
        </w:rPr>
        <w:t xml:space="preserve">Version control with audit trails and change history</w:t>
      </w:r>
    </w:p>
    <w:p>
      <w:pPr>
        <w:pStyle w:val="ListParagraph"/>
        <w:numPr>
          <w:ilvl w:val="0"/>
          <w:numId w:val="2"/>
        </w:numPr>
        <w:spacing w:after="60" w:before="60"/>
      </w:pPr>
      <w:r>
        <w:rPr>
          <w:rFonts w:ascii="Arial" w:cs="Arial" w:eastAsia="Arial" w:hAnsi="Arial"/>
          <w:sz w:val="22"/>
          <w:szCs w:val="22"/>
        </w:rPr>
        <w:t xml:space="preserve">Role-based access control (RBAC) with Active Directory / SSO integration</w:t>
      </w:r>
    </w:p>
    <w:p>
      <w:pPr>
        <w:pStyle w:val="ListParagraph"/>
        <w:numPr>
          <w:ilvl w:val="0"/>
          <w:numId w:val="2"/>
        </w:numPr>
        <w:spacing w:after="60" w:before="60"/>
      </w:pPr>
      <w:r>
        <w:rPr>
          <w:rFonts w:ascii="Arial" w:cs="Arial" w:eastAsia="Arial" w:hAnsi="Arial"/>
          <w:sz w:val="22"/>
          <w:szCs w:val="22"/>
        </w:rPr>
        <w:t xml:space="preserve">Workflow automation for document approvals, reviews, and escalations</w:t>
      </w:r>
    </w:p>
    <w:p>
      <w:pPr>
        <w:pStyle w:val="ListParagraph"/>
        <w:numPr>
          <w:ilvl w:val="0"/>
          <w:numId w:val="2"/>
        </w:numPr>
        <w:spacing w:after="60" w:before="60"/>
      </w:pPr>
      <w:r>
        <w:rPr>
          <w:rFonts w:ascii="Arial" w:cs="Arial" w:eastAsia="Arial" w:hAnsi="Arial"/>
          <w:sz w:val="22"/>
          <w:szCs w:val="22"/>
        </w:rPr>
        <w:t xml:space="preserve">Compliance and retention policy enforcement</w:t>
      </w:r>
    </w:p>
    <w:p>
      <w:pPr>
        <w:pStyle w:val="ListParagraph"/>
        <w:numPr>
          <w:ilvl w:val="0"/>
          <w:numId w:val="2"/>
        </w:numPr>
        <w:spacing w:after="60" w:before="60"/>
      </w:pPr>
      <w:r>
        <w:rPr>
          <w:rFonts w:ascii="Arial" w:cs="Arial" w:eastAsia="Arial" w:hAnsi="Arial"/>
          <w:sz w:val="22"/>
          <w:szCs w:val="22"/>
        </w:rPr>
        <w:t xml:space="preserve">Integration APIs (REST/GraphQL) for enterprise systems (ERP, CRM, HRMS)</w:t>
      </w:r>
    </w:p>
    <w:p>
      <w:pPr>
        <w:pStyle w:val="ListParagraph"/>
        <w:numPr>
          <w:ilvl w:val="0"/>
          <w:numId w:val="2"/>
        </w:numPr>
        <w:spacing w:after="60" w:before="60"/>
      </w:pPr>
      <w:r>
        <w:rPr>
          <w:rFonts w:ascii="Arial" w:cs="Arial" w:eastAsia="Arial" w:hAnsi="Arial"/>
          <w:sz w:val="22"/>
          <w:szCs w:val="22"/>
        </w:rPr>
        <w:t xml:space="preserve">Multi-language support (English and Hindi at minimum)</w:t>
      </w:r>
    </w:p>
    <w:p>
      <w:pPr>
        <w:pStyle w:val="Heading2"/>
        <w:spacing w:after="80" w:before="240"/>
      </w:pPr>
      <w:r>
        <w:rPr>
          <w:rFonts w:ascii="Arial" w:cs="Arial" w:eastAsia="Arial" w:hAnsi="Arial"/>
          <w:b/>
          <w:bCs/>
          <w:color w:val="2E6DA4"/>
          <w:sz w:val="24"/>
          <w:szCs w:val="24"/>
        </w:rPr>
        <w:t xml:space="preserve">2.2 AI/ML Requirements</w:t>
      </w:r>
    </w:p>
    <w:p>
      <w:pPr>
        <w:pStyle w:val="ListParagraph"/>
        <w:numPr>
          <w:ilvl w:val="0"/>
          <w:numId w:val="2"/>
        </w:numPr>
        <w:spacing w:after="60" w:before="60"/>
      </w:pPr>
      <w:r>
        <w:rPr>
          <w:rFonts w:ascii="Arial" w:cs="Arial" w:eastAsia="Arial" w:hAnsi="Arial"/>
          <w:sz w:val="22"/>
          <w:szCs w:val="22"/>
        </w:rPr>
        <w:t xml:space="preserve">Document classification accuracy of at least 90% on test corpus</w:t>
      </w:r>
    </w:p>
    <w:p>
      <w:pPr>
        <w:pStyle w:val="ListParagraph"/>
        <w:numPr>
          <w:ilvl w:val="0"/>
          <w:numId w:val="2"/>
        </w:numPr>
        <w:spacing w:after="60" w:before="60"/>
      </w:pPr>
      <w:r>
        <w:rPr>
          <w:rFonts w:ascii="Arial" w:cs="Arial" w:eastAsia="Arial" w:hAnsi="Arial"/>
          <w:sz w:val="22"/>
          <w:szCs w:val="22"/>
        </w:rPr>
        <w:t xml:space="preserve">Entity recognition for key business entities (parties, dates, amounts, clauses)</w:t>
      </w:r>
    </w:p>
    <w:p>
      <w:pPr>
        <w:pStyle w:val="ListParagraph"/>
        <w:numPr>
          <w:ilvl w:val="0"/>
          <w:numId w:val="2"/>
        </w:numPr>
        <w:spacing w:after="60" w:before="60"/>
      </w:pPr>
      <w:r>
        <w:rPr>
          <w:rFonts w:ascii="Arial" w:cs="Arial" w:eastAsia="Arial" w:hAnsi="Arial"/>
          <w:sz w:val="22"/>
          <w:szCs w:val="22"/>
        </w:rPr>
        <w:t xml:space="preserve">Intelligent search ranking using semantic similarity, not keyword-only</w:t>
      </w:r>
    </w:p>
    <w:p>
      <w:pPr>
        <w:pStyle w:val="ListParagraph"/>
        <w:numPr>
          <w:ilvl w:val="0"/>
          <w:numId w:val="2"/>
        </w:numPr>
        <w:spacing w:after="60" w:before="60"/>
      </w:pPr>
      <w:r>
        <w:rPr>
          <w:rFonts w:ascii="Arial" w:cs="Arial" w:eastAsia="Arial" w:hAnsi="Arial"/>
          <w:sz w:val="22"/>
          <w:szCs w:val="22"/>
        </w:rPr>
        <w:t xml:space="preserve">Automated summarization of long documents</w:t>
      </w:r>
    </w:p>
    <w:p>
      <w:pPr>
        <w:pStyle w:val="ListParagraph"/>
        <w:numPr>
          <w:ilvl w:val="0"/>
          <w:numId w:val="2"/>
        </w:numPr>
        <w:spacing w:after="60" w:before="60"/>
      </w:pPr>
      <w:r>
        <w:rPr>
          <w:rFonts w:ascii="Arial" w:cs="Arial" w:eastAsia="Arial" w:hAnsi="Arial"/>
          <w:sz w:val="22"/>
          <w:szCs w:val="22"/>
        </w:rPr>
        <w:t xml:space="preserve">Anomaly detection for duplicate or near-duplicate documents</w:t>
      </w:r>
    </w:p>
    <w:p>
      <w:pPr>
        <w:pStyle w:val="ListParagraph"/>
        <w:numPr>
          <w:ilvl w:val="0"/>
          <w:numId w:val="2"/>
        </w:numPr>
        <w:spacing w:after="60" w:before="60"/>
      </w:pPr>
      <w:r>
        <w:rPr>
          <w:rFonts w:ascii="Arial" w:cs="Arial" w:eastAsia="Arial" w:hAnsi="Arial"/>
          <w:sz w:val="22"/>
          <w:szCs w:val="22"/>
        </w:rPr>
        <w:t xml:space="preserve">Model retraining pipeline with labeled feedback loop</w:t>
      </w:r>
    </w:p>
    <w:p>
      <w:pPr>
        <w:pStyle w:val="Heading2"/>
        <w:spacing w:after="80" w:before="240"/>
      </w:pPr>
      <w:r>
        <w:rPr>
          <w:rFonts w:ascii="Arial" w:cs="Arial" w:eastAsia="Arial" w:hAnsi="Arial"/>
          <w:b/>
          <w:bCs/>
          <w:color w:val="2E6DA4"/>
          <w:sz w:val="24"/>
          <w:szCs w:val="24"/>
        </w:rPr>
        <w:t xml:space="preserve">2.3 Deployment &amp; Infrastructure</w:t>
      </w:r>
    </w:p>
    <w:p>
      <w:pPr>
        <w:pStyle w:val="ListParagraph"/>
        <w:numPr>
          <w:ilvl w:val="0"/>
          <w:numId w:val="2"/>
        </w:numPr>
        <w:spacing w:after="60" w:before="60"/>
      </w:pPr>
      <w:r>
        <w:rPr>
          <w:rFonts w:ascii="Arial" w:cs="Arial" w:eastAsia="Arial" w:hAnsi="Arial"/>
          <w:sz w:val="22"/>
          <w:szCs w:val="22"/>
        </w:rPr>
        <w:t xml:space="preserve">Cloud-native deployment on AWS or Azure (vendor to specify)</w:t>
      </w:r>
    </w:p>
    <w:p>
      <w:pPr>
        <w:pStyle w:val="ListParagraph"/>
        <w:numPr>
          <w:ilvl w:val="0"/>
          <w:numId w:val="2"/>
        </w:numPr>
        <w:spacing w:after="60" w:before="60"/>
      </w:pPr>
      <w:r>
        <w:rPr>
          <w:rFonts w:ascii="Arial" w:cs="Arial" w:eastAsia="Arial" w:hAnsi="Arial"/>
          <w:sz w:val="22"/>
          <w:szCs w:val="22"/>
        </w:rPr>
        <w:t xml:space="preserve">On-premise deployment option must be available</w:t>
      </w:r>
    </w:p>
    <w:p>
      <w:pPr>
        <w:pStyle w:val="ListParagraph"/>
        <w:numPr>
          <w:ilvl w:val="0"/>
          <w:numId w:val="2"/>
        </w:numPr>
        <w:spacing w:after="60" w:before="60"/>
      </w:pPr>
      <w:r>
        <w:rPr>
          <w:rFonts w:ascii="Arial" w:cs="Arial" w:eastAsia="Arial" w:hAnsi="Arial"/>
          <w:sz w:val="22"/>
          <w:szCs w:val="22"/>
        </w:rPr>
        <w:t xml:space="preserve">High availability architecture (99.9% SLA minimum)</w:t>
      </w:r>
    </w:p>
    <w:p>
      <w:pPr>
        <w:pStyle w:val="ListParagraph"/>
        <w:numPr>
          <w:ilvl w:val="0"/>
          <w:numId w:val="2"/>
        </w:numPr>
        <w:spacing w:after="60" w:before="60"/>
      </w:pPr>
      <w:r>
        <w:rPr>
          <w:rFonts w:ascii="Arial" w:cs="Arial" w:eastAsia="Arial" w:hAnsi="Arial"/>
          <w:sz w:val="22"/>
          <w:szCs w:val="22"/>
        </w:rPr>
        <w:t xml:space="preserve">Data encryption at rest (AES-256) and in transit (TLS 1.2+)</w:t>
      </w:r>
    </w:p>
    <w:p>
      <w:pPr>
        <w:pStyle w:val="ListParagraph"/>
        <w:numPr>
          <w:ilvl w:val="0"/>
          <w:numId w:val="2"/>
        </w:numPr>
        <w:spacing w:after="60" w:before="60"/>
      </w:pPr>
      <w:r>
        <w:rPr>
          <w:rFonts w:ascii="Arial" w:cs="Arial" w:eastAsia="Arial" w:hAnsi="Arial"/>
          <w:sz w:val="22"/>
          <w:szCs w:val="22"/>
        </w:rPr>
        <w:t xml:space="preserve">Disaster recovery with RPO of 4 hours and RTO of 2 hours</w:t>
      </w:r>
    </w:p>
    <w:p>
      <w:pPr>
        <w:pStyle w:val="ListParagraph"/>
        <w:numPr>
          <w:ilvl w:val="0"/>
          <w:numId w:val="2"/>
        </w:numPr>
        <w:spacing w:after="60" w:before="60"/>
      </w:pPr>
      <w:r>
        <w:rPr>
          <w:rFonts w:ascii="Arial" w:cs="Arial" w:eastAsia="Arial" w:hAnsi="Arial"/>
          <w:sz w:val="22"/>
          <w:szCs w:val="22"/>
        </w:rPr>
        <w:t xml:space="preserve">Horizontal scalability to handle up to 5 million documents</w:t>
      </w:r>
    </w:p>
    <w:p>
      <w:pPr>
        <w:pBdr>
          <w:bottom w:val="single" w:color="1E3A5F" w:sz="6" w:space="1"/>
        </w:pBdr>
        <w:spacing w:after="120" w:before="120"/>
      </w:pPr>
    </w:p>
    <w:p>
      <w:pPr>
        <w:pStyle w:val="Heading1"/>
        <w:spacing w:after="120" w:before="360"/>
      </w:pPr>
      <w:r>
        <w:rPr>
          <w:rFonts w:ascii="Arial" w:cs="Arial" w:eastAsia="Arial" w:hAnsi="Arial"/>
          <w:b/>
          <w:bCs/>
          <w:color w:val="1E3A5F"/>
          <w:sz w:val="28"/>
          <w:szCs w:val="28"/>
        </w:rPr>
        <w:t xml:space="preserve">3.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 Discovery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finalization, current-state assessment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 Design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4–8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UI/UX mockups, data model design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 Development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9–20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DMS, AI models, API integrations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4: Testing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21–24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UAT, performance testing, security audit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5: Deployment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25–28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rollout, training, go-live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6: Stabilization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29–32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Hypercare, bug fixes, performance tuning</w:t>
            </w:r>
          </w:p>
        </w:tc>
      </w:tr>
    </w:tbl>
    <w:p>
      <w:pPr>
        <w:pBdr>
          <w:bottom w:val="single" w:color="1E3A5F" w:sz="6" w:space="1"/>
        </w:pBdr>
        <w:spacing w:after="120" w:before="120"/>
      </w:pPr>
    </w:p>
    <w:p>
      <w:pPr>
        <w:pStyle w:val="Heading1"/>
        <w:spacing w:after="120" w:before="360"/>
      </w:pPr>
      <w:r>
        <w:rPr>
          <w:rFonts w:ascii="Arial" w:cs="Arial" w:eastAsia="Arial" w:hAnsi="Arial"/>
          <w:b/>
          <w:bCs/>
          <w:color w:val="1E3A5F"/>
          <w:sz w:val="28"/>
          <w:szCs w:val="28"/>
        </w:rPr>
        <w:t xml:space="preserve">4. Evaluation Criteria &amp; Weightage</w:t>
      </w:r>
    </w:p>
    <w:p>
      <w:pPr>
        <w:spacing w:after="80" w:before="80"/>
      </w:pPr>
      <w:r>
        <w:rPr>
          <w:rFonts w:ascii="Arial" w:cs="Arial" w:eastAsia="Arial" w:hAnsi="Arial"/>
          <w:sz w:val="22"/>
          <w:szCs w:val="22"/>
        </w:rPr>
        <w:t xml:space="preserve">Proposals will be evaluated on the following weighted criteria. Scoring will be applied by the evaluation committee based on submitted documentation, demos, and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Evaluation Criteria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We Look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Technical Solution &amp; AI Capabilities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30%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 quality, NLP depth, architecture robustness, scalability design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Functional Coverage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20%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 of all stated scope items; completeness of feature set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Implementation Approach &amp; Timeline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Phased plan clarity, risk mitigation, resource plan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Vendor Experience &amp; References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Relevant DMS/AI project history, client references, team qualifications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 &amp; Compliance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governance, encryption, audit trails, certifications (ISO 27001, SOC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Cost of Ownership</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Licensing, implementation, support, 3-year TCO breakdown</w:t>
            </w:r>
          </w:p>
        </w:tc>
      </w:tr>
    </w:tbl>
    <w:p>
      <w:pPr>
        <w:pBdr>
          <w:bottom w:val="single" w:color="1E3A5F" w:sz="6" w:space="1"/>
        </w:pBdr>
        <w:spacing w:after="120" w:before="120"/>
      </w:pPr>
    </w:p>
    <w:p>
      <w:pPr>
        <w:pStyle w:val="Heading1"/>
        <w:spacing w:after="120" w:before="360"/>
      </w:pPr>
      <w:r>
        <w:rPr>
          <w:rFonts w:ascii="Arial" w:cs="Arial" w:eastAsia="Arial" w:hAnsi="Arial"/>
          <w:b/>
          <w:bCs/>
          <w:color w:val="1E3A5F"/>
          <w:sz w:val="28"/>
          <w:szCs w:val="28"/>
        </w:rPr>
        <w:t xml:space="preserve">5. Proposal Submission Requirements</w:t>
      </w:r>
    </w:p>
    <w:p>
      <w:pPr>
        <w:pStyle w:val="Heading2"/>
        <w:spacing w:after="80" w:before="240"/>
      </w:pPr>
      <w:r>
        <w:rPr>
          <w:rFonts w:ascii="Arial" w:cs="Arial" w:eastAsia="Arial" w:hAnsi="Arial"/>
          <w:b/>
          <w:bCs/>
          <w:color w:val="2E6DA4"/>
          <w:sz w:val="24"/>
          <w:szCs w:val="24"/>
        </w:rPr>
        <w:t xml:space="preserve">5.1 Required Sections</w:t>
      </w:r>
    </w:p>
    <w:p>
      <w:pPr>
        <w:pStyle w:val="ListParagraph"/>
        <w:numPr>
          <w:ilvl w:val="0"/>
          <w:numId w:val="2"/>
        </w:numPr>
        <w:spacing w:after="60" w:before="60"/>
      </w:pPr>
      <w:r>
        <w:rPr>
          <w:rFonts w:ascii="Arial" w:cs="Arial" w:eastAsia="Arial" w:hAnsi="Arial"/>
          <w:sz w:val="22"/>
          <w:szCs w:val="22"/>
        </w:rPr>
        <w:t xml:space="preserve">Executive Summary (max 2 pages)</w:t>
      </w:r>
    </w:p>
    <w:p>
      <w:pPr>
        <w:pStyle w:val="ListParagraph"/>
        <w:numPr>
          <w:ilvl w:val="0"/>
          <w:numId w:val="2"/>
        </w:numPr>
        <w:spacing w:after="60" w:before="60"/>
      </w:pPr>
      <w:r>
        <w:rPr>
          <w:rFonts w:ascii="Arial" w:cs="Arial" w:eastAsia="Arial" w:hAnsi="Arial"/>
          <w:sz w:val="22"/>
          <w:szCs w:val="22"/>
        </w:rPr>
        <w:t xml:space="preserve">Company Background &amp; Relevant Experience</w:t>
      </w:r>
    </w:p>
    <w:p>
      <w:pPr>
        <w:pStyle w:val="ListParagraph"/>
        <w:numPr>
          <w:ilvl w:val="0"/>
          <w:numId w:val="2"/>
        </w:numPr>
        <w:spacing w:after="60" w:before="60"/>
      </w:pPr>
      <w:r>
        <w:rPr>
          <w:rFonts w:ascii="Arial" w:cs="Arial" w:eastAsia="Arial" w:hAnsi="Arial"/>
          <w:sz w:val="22"/>
          <w:szCs w:val="22"/>
        </w:rPr>
        <w:t xml:space="preserve">Understanding of Requirements &amp; Proposed Solution</w:t>
      </w:r>
    </w:p>
    <w:p>
      <w:pPr>
        <w:pStyle w:val="ListParagraph"/>
        <w:numPr>
          <w:ilvl w:val="0"/>
          <w:numId w:val="2"/>
        </w:numPr>
        <w:spacing w:after="60" w:before="60"/>
      </w:pPr>
      <w:r>
        <w:rPr>
          <w:rFonts w:ascii="Arial" w:cs="Arial" w:eastAsia="Arial" w:hAnsi="Arial"/>
          <w:sz w:val="22"/>
          <w:szCs w:val="22"/>
        </w:rPr>
        <w:t xml:space="preserve">Technical Architecture Diagram</w:t>
      </w:r>
    </w:p>
    <w:p>
      <w:pPr>
        <w:pStyle w:val="ListParagraph"/>
        <w:numPr>
          <w:ilvl w:val="0"/>
          <w:numId w:val="2"/>
        </w:numPr>
        <w:spacing w:after="60" w:before="60"/>
      </w:pPr>
      <w:r>
        <w:rPr>
          <w:rFonts w:ascii="Arial" w:cs="Arial" w:eastAsia="Arial" w:hAnsi="Arial"/>
          <w:sz w:val="22"/>
          <w:szCs w:val="22"/>
        </w:rPr>
        <w:t xml:space="preserve">AI/ML Model Details and Accuracy Benchmarks</w:t>
      </w:r>
    </w:p>
    <w:p>
      <w:pPr>
        <w:pStyle w:val="ListParagraph"/>
        <w:numPr>
          <w:ilvl w:val="0"/>
          <w:numId w:val="2"/>
        </w:numPr>
        <w:spacing w:after="60" w:before="60"/>
      </w:pPr>
      <w:r>
        <w:rPr>
          <w:rFonts w:ascii="Arial" w:cs="Arial" w:eastAsia="Arial" w:hAnsi="Arial"/>
          <w:sz w:val="22"/>
          <w:szCs w:val="22"/>
        </w:rPr>
        <w:t xml:space="preserve">Implementation Plan with Milestones</w:t>
      </w:r>
    </w:p>
    <w:p>
      <w:pPr>
        <w:pStyle w:val="ListParagraph"/>
        <w:numPr>
          <w:ilvl w:val="0"/>
          <w:numId w:val="2"/>
        </w:numPr>
        <w:spacing w:after="60" w:before="60"/>
      </w:pPr>
      <w:r>
        <w:rPr>
          <w:rFonts w:ascii="Arial" w:cs="Arial" w:eastAsia="Arial" w:hAnsi="Arial"/>
          <w:sz w:val="22"/>
          <w:szCs w:val="22"/>
        </w:rPr>
        <w:t xml:space="preserve">Team Profiles and CVs of key personnel</w:t>
      </w:r>
    </w:p>
    <w:p>
      <w:pPr>
        <w:pStyle w:val="ListParagraph"/>
        <w:numPr>
          <w:ilvl w:val="0"/>
          <w:numId w:val="2"/>
        </w:numPr>
        <w:spacing w:after="60" w:before="60"/>
      </w:pPr>
      <w:r>
        <w:rPr>
          <w:rFonts w:ascii="Arial" w:cs="Arial" w:eastAsia="Arial" w:hAnsi="Arial"/>
          <w:sz w:val="22"/>
          <w:szCs w:val="22"/>
        </w:rPr>
        <w:t xml:space="preserve">Security and Compliance Documentation</w:t>
      </w:r>
    </w:p>
    <w:p>
      <w:pPr>
        <w:pStyle w:val="ListParagraph"/>
        <w:numPr>
          <w:ilvl w:val="0"/>
          <w:numId w:val="2"/>
        </w:numPr>
        <w:spacing w:after="60" w:before="60"/>
      </w:pPr>
      <w:r>
        <w:rPr>
          <w:rFonts w:ascii="Arial" w:cs="Arial" w:eastAsia="Arial" w:hAnsi="Arial"/>
          <w:sz w:val="22"/>
          <w:szCs w:val="22"/>
        </w:rPr>
        <w:t xml:space="preserve">Pricing Breakdown (implementation, licensing, support)</w:t>
      </w:r>
    </w:p>
    <w:p>
      <w:pPr>
        <w:pStyle w:val="ListParagraph"/>
        <w:numPr>
          <w:ilvl w:val="0"/>
          <w:numId w:val="2"/>
        </w:numPr>
        <w:spacing w:after="60" w:before="60"/>
      </w:pPr>
      <w:r>
        <w:rPr>
          <w:rFonts w:ascii="Arial" w:cs="Arial" w:eastAsia="Arial" w:hAnsi="Arial"/>
          <w:sz w:val="22"/>
          <w:szCs w:val="22"/>
        </w:rPr>
        <w:t xml:space="preserve">3 client references with contact information</w:t>
      </w:r>
    </w:p>
    <w:p>
      <w:pPr>
        <w:pStyle w:val="ListParagraph"/>
        <w:numPr>
          <w:ilvl w:val="0"/>
          <w:numId w:val="2"/>
        </w:numPr>
        <w:spacing w:after="60" w:before="60"/>
      </w:pPr>
      <w:r>
        <w:rPr>
          <w:rFonts w:ascii="Arial" w:cs="Arial" w:eastAsia="Arial" w:hAnsi="Arial"/>
          <w:sz w:val="22"/>
          <w:szCs w:val="22"/>
        </w:rPr>
        <w:t xml:space="preserve">Signed Terms and Conditions acknowledgment</w:t>
      </w:r>
    </w:p>
    <w:p>
      <w:pPr>
        <w:pStyle w:val="Heading2"/>
        <w:spacing w:after="80" w:before="240"/>
      </w:pPr>
      <w:r>
        <w:rPr>
          <w:rFonts w:ascii="Arial" w:cs="Arial" w:eastAsia="Arial" w:hAnsi="Arial"/>
          <w:b/>
          <w:bCs/>
          <w:color w:val="2E6DA4"/>
          <w:sz w:val="24"/>
          <w:szCs w:val="24"/>
        </w:rPr>
        <w:t xml:space="preserve">5.2 Format</w:t>
      </w:r>
    </w:p>
    <w:p>
      <w:pPr>
        <w:pStyle w:val="ListParagraph"/>
        <w:numPr>
          <w:ilvl w:val="0"/>
          <w:numId w:val="2"/>
        </w:numPr>
        <w:spacing w:after="60" w:before="60"/>
      </w:pPr>
      <w:r>
        <w:rPr>
          <w:rFonts w:ascii="Arial" w:cs="Arial" w:eastAsia="Arial" w:hAnsi="Arial"/>
          <w:sz w:val="22"/>
          <w:szCs w:val="22"/>
        </w:rPr>
        <w:t xml:space="preserve">Maximum 50 pages excluding appendices</w:t>
      </w:r>
    </w:p>
    <w:p>
      <w:pPr>
        <w:pStyle w:val="ListParagraph"/>
        <w:numPr>
          <w:ilvl w:val="0"/>
          <w:numId w:val="2"/>
        </w:numPr>
        <w:spacing w:after="60" w:before="60"/>
      </w:pPr>
      <w:r>
        <w:rPr>
          <w:rFonts w:ascii="Arial" w:cs="Arial" w:eastAsia="Arial" w:hAnsi="Arial"/>
          <w:sz w:val="22"/>
          <w:szCs w:val="22"/>
        </w:rPr>
        <w:t xml:space="preserve">Submit as PDF and editable DOCX</w:t>
      </w:r>
    </w:p>
    <w:p>
      <w:pPr>
        <w:pStyle w:val="ListParagraph"/>
        <w:numPr>
          <w:ilvl w:val="0"/>
          <w:numId w:val="2"/>
        </w:numPr>
        <w:spacing w:after="60" w:before="60"/>
      </w:pPr>
      <w:r>
        <w:rPr>
          <w:rFonts w:ascii="Arial" w:cs="Arial" w:eastAsia="Arial" w:hAnsi="Arial"/>
          <w:sz w:val="22"/>
          <w:szCs w:val="22"/>
        </w:rPr>
        <w:t xml:space="preserve">Font: Arial or Calibri, 11pt minimum</w:t>
      </w:r>
    </w:p>
    <w:p>
      <w:pPr>
        <w:pStyle w:val="ListParagraph"/>
        <w:numPr>
          <w:ilvl w:val="0"/>
          <w:numId w:val="2"/>
        </w:numPr>
        <w:spacing w:after="60" w:before="60"/>
      </w:pPr>
      <w:r>
        <w:rPr>
          <w:rFonts w:ascii="Arial" w:cs="Arial" w:eastAsia="Arial" w:hAnsi="Arial"/>
          <w:sz w:val="22"/>
          <w:szCs w:val="22"/>
        </w:rPr>
        <w:t xml:space="preserve">All financial figures in INR (Indian Rupees)</w:t>
      </w:r>
    </w:p>
    <w:p>
      <w:pPr>
        <w:pBdr>
          <w:bottom w:val="single" w:color="1E3A5F" w:sz="6" w:space="1"/>
        </w:pBdr>
        <w:spacing w:after="120" w:before="120"/>
      </w:pPr>
    </w:p>
    <w:p>
      <w:pPr>
        <w:pStyle w:val="Heading1"/>
        <w:spacing w:after="120" w:before="360"/>
      </w:pPr>
      <w:r>
        <w:rPr>
          <w:rFonts w:ascii="Arial" w:cs="Arial" w:eastAsia="Arial" w:hAnsi="Arial"/>
          <w:b/>
          <w:bCs/>
          <w:color w:val="1E3A5F"/>
          <w:sz w:val="28"/>
          <w:szCs w:val="28"/>
        </w:rPr>
        <w:t xml:space="preserve">6. General Terms</w:t>
      </w:r>
    </w:p>
    <w:p>
      <w:pPr>
        <w:spacing w:after="80" w:before="80"/>
      </w:pPr>
      <w:r>
        <w:rPr>
          <w:rFonts w:ascii="Arial" w:cs="Arial" w:eastAsia="Arial" w:hAnsi="Arial"/>
          <w:sz w:val="22"/>
          <w:szCs w:val="22"/>
        </w:rPr>
        <w:t xml:space="preserve">This RFP does not constitute a commitment to award a contract. GlobalLogic reserves the right to reject any or all proposals, to waive technicalities, and to accept any proposal deemed to be in the best interest of the organization. All submissions become the property of GlobalLogic and will be treated as confidential.</w:t>
      </w:r>
    </w:p>
    <w:p>
      <w:pPr>
        <w:spacing w:after="80" w:before="80"/>
      </w:pPr>
      <w:r>
        <w:rPr>
          <w:rFonts w:ascii="Arial" w:cs="Arial" w:eastAsia="Arial" w:hAnsi="Arial"/>
          <w:sz w:val="22"/>
          <w:szCs w:val="22"/>
        </w:rPr>
        <w:t xml:space="preserve">Vendors may request one clarification session before the submission deadline. All queries must be submitted via email to procurement@globallogic.com by July 10, 2026.</w:t>
      </w:r>
    </w:p>
    <w:p>
      <w:pPr>
        <w:spacing w:after="80" w:before="80"/>
      </w:pPr>
      <w:r>
        <w:rPr>
          <w:rFonts w:ascii="Arial" w:cs="Arial" w:eastAsia="Arial" w:hAnsi="Arial"/>
          <w:sz w:val="22"/>
          <w:szCs w:val="22"/>
        </w:rPr>
        <w:t xml:space="preserve">Vendors must disclose any actual or potential conflicts of interest at time of submission. Failure to disclose may result in disqualification.</w:t>
      </w:r>
    </w:p>
    <w:p>
      <w:pPr>
        <w:pBdr>
          <w:bottom w:val="single" w:color="1E3A5F" w:sz="6" w:space="1"/>
        </w:pBdr>
        <w:spacing w:after="120" w:before="120"/>
      </w:pPr>
    </w:p>
    <w:p>
      <w:pPr>
        <w:spacing w:after="120" w:before="480"/>
        <w:jc w:val="center"/>
      </w:pPr>
      <w:r>
        <w:rPr>
          <w:rFonts w:ascii="Arial" w:cs="Arial" w:eastAsia="Arial" w:hAnsi="Arial"/>
          <w:b/>
          <w:bCs/>
          <w:color w:val="777777"/>
          <w:sz w:val="22"/>
          <w:szCs w:val="22"/>
        </w:rPr>
        <w:t xml:space="preserve">— END OF RFP DOCUMENT —</w:t>
      </w:r>
    </w:p>
    <w:p>
      <w:pPr>
        <w:jc w:val="center"/>
      </w:pPr>
      <w:r>
        <w:rPr>
          <w:rFonts w:ascii="Arial" w:cs="Arial" w:eastAsia="Arial" w:hAnsi="Arial"/>
          <w:color w:val="999999"/>
          <w:sz w:val="18"/>
          <w:szCs w:val="18"/>
        </w:rPr>
        <w:t xml:space="preserve">RFP-2026-AIDMS-001  |  GlobalLogic Procurement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center"/>
    </w:pPr>
    <w:r>
      <w:rPr>
        <w:rFonts w:ascii="Arial" w:cs="Arial" w:eastAsia="Arial" w:hAnsi="Arial"/>
        <w:color w:val="777777"/>
        <w:sz w:val="18"/>
        <w:szCs w:val="18"/>
      </w:rPr>
      <w:t xml:space="preserve">CONFIDENTIAL  |  GlobalLogic Procurement Office  |  Page </w:t>
    </w:r>
    <w:r>
      <w:rPr>
        <w:rFonts w:ascii="Arial" w:cs="Arial" w:eastAsia="Arial" w:hAnsi="Arial"/>
        <w:color w:val="77777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jc w:val="right"/>
    </w:pPr>
    <w:r>
      <w:rPr>
        <w:rFonts w:ascii="Arial" w:cs="Arial" w:eastAsia="Arial" w:hAnsi="Arial"/>
        <w:color w:val="555555"/>
        <w:sz w:val="18"/>
        <w:szCs w:val="18"/>
      </w:rPr>
      <w:t xml:space="preserve">RFP-2026-AIDMS-001  |  AI-Powered Document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2026-06-11T10:09:12.323Z</dcterms:created>
  <dcterms:modified xsi:type="dcterms:W3CDTF">2026-06-11T10:09:12.324Z</dcterms:modified>
</cp:coreProperties>
</file>

<file path=docProps/custom.xml><?xml version="1.0" encoding="utf-8"?>
<Properties xmlns="http://schemas.openxmlformats.org/officeDocument/2006/custom-properties" xmlns:vt="http://schemas.openxmlformats.org/officeDocument/2006/docPropsVTypes"/>
</file>