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60"/>
        <w:jc w:val="center"/>
      </w:pPr>
      <w:r>
        <w:rPr>
          <w:rFonts w:ascii="Arial" w:cs="Arial" w:eastAsia="Arial" w:hAnsi="Arial"/>
          <w:b/>
          <w:bCs/>
          <w:color w:val="1A5C38"/>
          <w:sz w:val="48"/>
          <w:szCs w:val="48"/>
        </w:rPr>
        <w:t xml:space="preserve">VENDOR BID RESPONSE</w:t>
      </w:r>
    </w:p>
    <w:p>
      <w:pPr>
        <w:spacing w:after="40" w:before="40"/>
        <w:jc w:val="center"/>
      </w:pPr>
      <w:r>
        <w:rPr>
          <w:rFonts w:ascii="Arial" w:cs="Arial" w:eastAsia="Arial" w:hAnsi="Arial"/>
          <w:color w:val="277548"/>
          <w:sz w:val="26"/>
          <w:szCs w:val="26"/>
        </w:rPr>
        <w:t xml:space="preserve">BID-InfraSoft-2026-001</w:t>
      </w:r>
    </w:p>
    <w:p>
      <w:pPr>
        <w:spacing w:after="200" w:before="40"/>
        <w:jc w:val="center"/>
      </w:pPr>
      <w:r>
        <w:rPr>
          <w:rFonts w:ascii="Arial" w:cs="Arial" w:eastAsia="Arial" w:hAnsi="Arial"/>
          <w:b/>
          <w:bCs/>
          <w:color w:val="333333"/>
          <w:sz w:val="26"/>
          <w:szCs w:val="26"/>
        </w:rPr>
        <w:t xml:space="preserve">In Response to RFP-2026-AIDMS-001  |  AI-Powered Document Management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bCs/>
                <w:sz w:val="20"/>
                <w:szCs w:val="20"/>
              </w:rPr>
              <w:t xml:space="preserve">Vendor Name</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InfraSoft Solutions Pvt. Ltd.</w:t>
            </w:r>
          </w:p>
        </w:tc>
      </w:tr>
      <w:tr>
        <w:tc>
          <w:tcPr>
            <w:tcW w:type="dxa" w:w="35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bCs/>
                <w:sz w:val="20"/>
                <w:szCs w:val="20"/>
              </w:rPr>
              <w:t xml:space="preserve">Registered Address</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9th Floor, DLF Cybercity, Sector 25A, Noida, UP – 201301</w:t>
            </w:r>
          </w:p>
        </w:tc>
      </w:tr>
      <w:tr>
        <w:tc>
          <w:tcPr>
            <w:tcW w:type="dxa" w:w="35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bCs/>
                <w:sz w:val="20"/>
                <w:szCs w:val="20"/>
              </w:rPr>
              <w:t xml:space="preserve">CIN / GSTIN</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U72900UP2017PTC089456 / 09AAACI5678M1Z3</w:t>
            </w:r>
          </w:p>
        </w:tc>
      </w:tr>
      <w:tr>
        <w:tc>
          <w:tcPr>
            <w:tcW w:type="dxa" w:w="35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bCs/>
                <w:sz w:val="20"/>
                <w:szCs w:val="20"/>
              </w:rPr>
              <w:t xml:space="preserve">Authorized Signatory</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Vikram Anand, Chief Executive Officer</w:t>
            </w:r>
          </w:p>
        </w:tc>
      </w:tr>
      <w:tr>
        <w:tc>
          <w:tcPr>
            <w:tcW w:type="dxa" w:w="35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bCs/>
                <w:sz w:val="20"/>
                <w:szCs w:val="20"/>
              </w:rPr>
              <w:t xml:space="preserve">Designation &amp; Signature</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CEO — [Digitally Signed — see Appendix A]</w:t>
            </w:r>
          </w:p>
        </w:tc>
      </w:tr>
      <w:tr>
        <w:tc>
          <w:tcPr>
            <w:tcW w:type="dxa" w:w="35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bCs/>
                <w:sz w:val="20"/>
                <w:szCs w:val="20"/>
              </w:rPr>
              <w:t xml:space="preserve">Contact Person</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Deepika Rao, Head – Enterprise Presales</w:t>
            </w:r>
          </w:p>
        </w:tc>
      </w:tr>
      <w:tr>
        <w:tc>
          <w:tcPr>
            <w:tcW w:type="dxa" w:w="35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bCs/>
                <w:sz w:val="20"/>
                <w:szCs w:val="20"/>
              </w:rPr>
              <w:t xml:space="preserve">Email / Phone</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deepika.rao@infrasoft.in / +91-97111-22334</w:t>
            </w:r>
          </w:p>
        </w:tc>
      </w:tr>
      <w:tr>
        <w:tc>
          <w:tcPr>
            <w:tcW w:type="dxa" w:w="35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bCs/>
                <w:sz w:val="20"/>
                <w:szCs w:val="20"/>
              </w:rPr>
              <w:t xml:space="preserve">Submission Date &amp; Time</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July 21, 2026 — 11:30 AM IST  (Deadline: July 25, 2026)</w:t>
            </w:r>
          </w:p>
        </w:tc>
      </w:tr>
      <w:tr>
        <w:tc>
          <w:tcPr>
            <w:tcW w:type="dxa" w:w="35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bCs/>
                <w:sz w:val="20"/>
                <w:szCs w:val="20"/>
              </w:rPr>
              <w:t xml:space="preserve">Bid Validity</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90 days from submission date</w:t>
            </w:r>
          </w:p>
        </w:tc>
      </w:tr>
    </w:tbl>
    <w:p>
      <w:pPr>
        <w:pBdr>
          <w:bottom w:val="single" w:color="1A5C38" w:sz="6" w:space="1"/>
        </w:pBdr>
        <w:spacing w:after="120" w:before="120"/>
      </w:pPr>
    </w:p>
    <w:p>
      <w:pPr>
        <w:pStyle w:val="Heading1"/>
        <w:spacing w:after="120" w:before="360"/>
      </w:pPr>
      <w:r>
        <w:rPr>
          <w:rFonts w:ascii="Arial" w:cs="Arial" w:eastAsia="Arial" w:hAnsi="Arial"/>
          <w:b/>
          <w:bCs/>
          <w:color w:val="CC0000"/>
          <w:sz w:val="28"/>
          <w:szCs w:val="28"/>
        </w:rPr>
        <w:t xml:space="preserve">0. Mandatory Compliance Declaration</w:t>
      </w:r>
    </w:p>
    <w:p>
      <w:pPr>
        <w:spacing w:after="80" w:before="80"/>
      </w:pPr>
      <w:r>
        <w:rPr>
          <w:rFonts w:ascii="Arial" w:cs="Arial" w:eastAsia="Arial" w:hAnsi="Arial"/>
          <w:color w:val="CC0000"/>
          <w:sz w:val="22"/>
          <w:szCs w:val="22"/>
        </w:rPr>
        <w:t xml:space="preserve">This section explicitly addresses each Go/No-Go mandatory requirement from the RFP evaluation framework. All six mandatory criteria are fully satisfied. Any criterion rated zero results in automatic disqualification; InfraSoft certifies full compliance on each.</w:t>
      </w:r>
    </w:p>
    <w:p>
      <w:pPr>
        <w:spacing w:after="80" w:before="120"/>
      </w:pPr>
      <w:r>
        <w:rPr>
          <w:rFonts w:ascii="Arial" w:cs="Arial" w:eastAsia="Arial" w:hAnsi="Arial"/>
          <w:b/>
          <w:bCs/>
          <w:sz w:val="22"/>
          <w:szCs w:val="22"/>
        </w:rPr>
        <w:t xml:space="preserve">Mandatory Compliance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200"/>
        <w:gridCol w:w="4160"/>
      </w:tblGrid>
      <w:tr>
        <w:tc>
          <w:tcPr>
            <w:tcW w:type="dxa" w:w="8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Rule ID</w:t>
            </w:r>
          </w:p>
        </w:tc>
        <w:tc>
          <w:tcPr>
            <w:tcW w:type="dxa" w:w="32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Mandatory Requirement</w:t>
            </w:r>
          </w:p>
        </w:tc>
        <w:tc>
          <w:tcPr>
            <w:tcW w:type="dxa" w:w="12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41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Evidence / Reference</w:t>
            </w:r>
          </w:p>
        </w:tc>
      </w:tr>
      <w:tr>
        <w:tc>
          <w:tcPr>
            <w:tcW w:type="dxa" w:w="800"/>
            <w:tcBorders>
              <w:top w:val="single" w:color="CCCCCC" w:sz="1"/>
              <w:left w:val="single" w:color="CCCCCC" w:sz="1"/>
              <w:bottom w:val="single" w:color="CCCCCC" w:sz="1"/>
              <w:right w:val="single" w:color="CCCCCC" w:sz="1"/>
            </w:tcBorders>
            <w:shd w:fill="CC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M-01</w:t>
            </w:r>
          </w:p>
        </w:tc>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0"/>
                <w:szCs w:val="20"/>
              </w:rPr>
              <w:t xml:space="preserve">Signed bid on company letterhead with authorized signatory</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20"/>
              <w:bottom w:type="dxa" w:w="100"/>
              <w:right w:type="dxa" w:w="120"/>
            </w:tcMar>
          </w:tcPr>
          <w:p>
            <w:pPr>
              <w:jc w:val="center"/>
            </w:pPr>
            <w:r>
              <w:rPr>
                <w:rFonts w:ascii="Arial" w:cs="Arial" w:eastAsia="Arial" w:hAnsi="Arial"/>
                <w:b/>
                <w:bCs/>
                <w:color w:val="1A5C38"/>
                <w:sz w:val="20"/>
                <w:szCs w:val="20"/>
              </w:rPr>
              <w:t xml:space="preserve">✔ PASS</w:t>
            </w:r>
          </w:p>
        </w:tc>
        <w:tc>
          <w:tcPr>
            <w:tcW w:type="dxa" w:w="41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Signed by Vikram Anand, CEO. Digital signature certificate attached in Appendix A. Company letterhead on cover page.</w:t>
            </w:r>
          </w:p>
        </w:tc>
      </w:tr>
      <w:tr>
        <w:tc>
          <w:tcPr>
            <w:tcW w:type="dxa" w:w="800"/>
            <w:tcBorders>
              <w:top w:val="single" w:color="CCCCCC" w:sz="1"/>
              <w:left w:val="single" w:color="CCCCCC" w:sz="1"/>
              <w:bottom w:val="single" w:color="CCCCCC" w:sz="1"/>
              <w:right w:val="single" w:color="CCCCCC" w:sz="1"/>
            </w:tcBorders>
            <w:shd w:fill="CC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M-02</w:t>
            </w:r>
          </w:p>
        </w:tc>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0"/>
                <w:szCs w:val="20"/>
              </w:rPr>
              <w:t xml:space="preserve">Bid submitted before deadline (July 25, 2026 — 5:00 PM IST)</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20"/>
              <w:bottom w:type="dxa" w:w="100"/>
              <w:right w:type="dxa" w:w="120"/>
            </w:tcMar>
          </w:tcPr>
          <w:p>
            <w:pPr>
              <w:jc w:val="center"/>
            </w:pPr>
            <w:r>
              <w:rPr>
                <w:rFonts w:ascii="Arial" w:cs="Arial" w:eastAsia="Arial" w:hAnsi="Arial"/>
                <w:b/>
                <w:bCs/>
                <w:color w:val="1A5C38"/>
                <w:sz w:val="20"/>
                <w:szCs w:val="20"/>
              </w:rPr>
              <w:t xml:space="preserve">✔ PASS</w:t>
            </w:r>
          </w:p>
        </w:tc>
        <w:tc>
          <w:tcPr>
            <w:tcW w:type="dxa" w:w="41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Submitted July 21, 2026 at 11:30 AM IST — 4 days before deadline. Submission timestamp captured by portal.</w:t>
            </w:r>
          </w:p>
        </w:tc>
      </w:tr>
      <w:tr>
        <w:tc>
          <w:tcPr>
            <w:tcW w:type="dxa" w:w="800"/>
            <w:tcBorders>
              <w:top w:val="single" w:color="CCCCCC" w:sz="1"/>
              <w:left w:val="single" w:color="CCCCCC" w:sz="1"/>
              <w:bottom w:val="single" w:color="CCCCCC" w:sz="1"/>
              <w:right w:val="single" w:color="CCCCCC" w:sz="1"/>
            </w:tcBorders>
            <w:shd w:fill="CC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M-03</w:t>
            </w:r>
          </w:p>
        </w:tc>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0"/>
                <w:szCs w:val="20"/>
              </w:rPr>
              <w:t xml:space="preserve">Minimum 3 client references for DMS or AI projects (with contact)</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20"/>
              <w:bottom w:type="dxa" w:w="100"/>
              <w:right w:type="dxa" w:w="120"/>
            </w:tcMar>
          </w:tcPr>
          <w:p>
            <w:pPr>
              <w:jc w:val="center"/>
            </w:pPr>
            <w:r>
              <w:rPr>
                <w:rFonts w:ascii="Arial" w:cs="Arial" w:eastAsia="Arial" w:hAnsi="Arial"/>
                <w:b/>
                <w:bCs/>
                <w:color w:val="1A5C38"/>
                <w:sz w:val="20"/>
                <w:szCs w:val="20"/>
              </w:rPr>
              <w:t xml:space="preserve">✔ PASS</w:t>
            </w:r>
          </w:p>
        </w:tc>
        <w:tc>
          <w:tcPr>
            <w:tcW w:type="dxa" w:w="41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3 references provided in Section 2.2 with client name, contact person, email, phone, and project scope.</w:t>
            </w:r>
          </w:p>
        </w:tc>
      </w:tr>
      <w:tr>
        <w:tc>
          <w:tcPr>
            <w:tcW w:type="dxa" w:w="800"/>
            <w:tcBorders>
              <w:top w:val="single" w:color="CCCCCC" w:sz="1"/>
              <w:left w:val="single" w:color="CCCCCC" w:sz="1"/>
              <w:bottom w:val="single" w:color="CCCCCC" w:sz="1"/>
              <w:right w:val="single" w:color="CCCCCC" w:sz="1"/>
            </w:tcBorders>
            <w:shd w:fill="CC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M-04</w:t>
            </w:r>
          </w:p>
        </w:tc>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0"/>
                <w:szCs w:val="20"/>
              </w:rPr>
              <w:t xml:space="preserve">Document classification accuracy ≥ 90% (with evidence)</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20"/>
              <w:bottom w:type="dxa" w:w="100"/>
              <w:right w:type="dxa" w:w="120"/>
            </w:tcMar>
          </w:tcPr>
          <w:p>
            <w:pPr>
              <w:jc w:val="center"/>
            </w:pPr>
            <w:r>
              <w:rPr>
                <w:rFonts w:ascii="Arial" w:cs="Arial" w:eastAsia="Arial" w:hAnsi="Arial"/>
                <w:b/>
                <w:bCs/>
                <w:color w:val="1A5C38"/>
                <w:sz w:val="20"/>
                <w:szCs w:val="20"/>
              </w:rPr>
              <w:t xml:space="preserve">✔ PASS</w:t>
            </w:r>
          </w:p>
        </w:tc>
        <w:tc>
          <w:tcPr>
            <w:tcW w:type="dxa" w:w="41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Internal benchmark: 91.4% accuracy on 50,000 document test corpus. Benchmark report in Appendix B.</w:t>
            </w:r>
          </w:p>
        </w:tc>
      </w:tr>
      <w:tr>
        <w:tc>
          <w:tcPr>
            <w:tcW w:type="dxa" w:w="800"/>
            <w:tcBorders>
              <w:top w:val="single" w:color="CCCCCC" w:sz="1"/>
              <w:left w:val="single" w:color="CCCCCC" w:sz="1"/>
              <w:bottom w:val="single" w:color="CCCCCC" w:sz="1"/>
              <w:right w:val="single" w:color="CCCCCC" w:sz="1"/>
            </w:tcBorders>
            <w:shd w:fill="CC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M-05</w:t>
            </w:r>
          </w:p>
        </w:tc>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0"/>
                <w:szCs w:val="20"/>
              </w:rPr>
              <w:t xml:space="preserve">ISO 27001 or SOC 2 Type II certificate attached (current, not expired)</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20"/>
              <w:bottom w:type="dxa" w:w="100"/>
              <w:right w:type="dxa" w:w="120"/>
            </w:tcMar>
          </w:tcPr>
          <w:p>
            <w:pPr>
              <w:jc w:val="center"/>
            </w:pPr>
            <w:r>
              <w:rPr>
                <w:rFonts w:ascii="Arial" w:cs="Arial" w:eastAsia="Arial" w:hAnsi="Arial"/>
                <w:b/>
                <w:bCs/>
                <w:color w:val="1A5C38"/>
                <w:sz w:val="20"/>
                <w:szCs w:val="20"/>
              </w:rPr>
              <w:t xml:space="preserve">✔ PASS</w:t>
            </w:r>
          </w:p>
        </w:tc>
        <w:tc>
          <w:tcPr>
            <w:tcW w:type="dxa" w:w="41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ISO 27001:2022 certificate (valid until March 2027) attached in Appendix C. Cert No: IS-2022-IN-087432.</w:t>
            </w:r>
          </w:p>
        </w:tc>
      </w:tr>
      <w:tr>
        <w:tc>
          <w:tcPr>
            <w:tcW w:type="dxa" w:w="800"/>
            <w:tcBorders>
              <w:top w:val="single" w:color="CCCCCC" w:sz="1"/>
              <w:left w:val="single" w:color="CCCCCC" w:sz="1"/>
              <w:bottom w:val="single" w:color="CCCCCC" w:sz="1"/>
              <w:right w:val="single" w:color="CCCCCC" w:sz="1"/>
            </w:tcBorders>
            <w:shd w:fill="CC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M-06</w:t>
            </w:r>
          </w:p>
        </w:tc>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0"/>
                <w:szCs w:val="20"/>
              </w:rPr>
              <w:t xml:space="preserve">Proposed architecture supports at least 5 million documents</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20"/>
              <w:bottom w:type="dxa" w:w="100"/>
              <w:right w:type="dxa" w:w="120"/>
            </w:tcMar>
          </w:tcPr>
          <w:p>
            <w:pPr>
              <w:jc w:val="center"/>
            </w:pPr>
            <w:r>
              <w:rPr>
                <w:rFonts w:ascii="Arial" w:cs="Arial" w:eastAsia="Arial" w:hAnsi="Arial"/>
                <w:b/>
                <w:bCs/>
                <w:color w:val="1A5C38"/>
                <w:sz w:val="20"/>
                <w:szCs w:val="20"/>
              </w:rPr>
              <w:t xml:space="preserve">✔ PASS</w:t>
            </w:r>
          </w:p>
        </w:tc>
        <w:tc>
          <w:tcPr>
            <w:tcW w:type="dxa" w:w="41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Architecture diagram (Appendix D) shows AWS EKS cluster with S3 storage — capacity validated to 8M documents in load test.</w:t>
            </w:r>
          </w:p>
        </w:tc>
      </w:tr>
    </w:tbl>
    <w:p>
      <w:pPr>
        <w:pBdr>
          <w:bottom w:val="single" w:color="1A5C38" w:sz="6" w:space="1"/>
        </w:pBdr>
        <w:spacing w:after="120" w:before="120"/>
      </w:pPr>
    </w:p>
    <w:p>
      <w:pPr>
        <w:pStyle w:val="Heading1"/>
        <w:spacing w:after="120" w:before="360"/>
      </w:pPr>
      <w:r>
        <w:rPr>
          <w:rFonts w:ascii="Arial" w:cs="Arial" w:eastAsia="Arial" w:hAnsi="Arial"/>
          <w:b/>
          <w:bCs/>
          <w:color w:val="1A5C38"/>
          <w:sz w:val="28"/>
          <w:szCs w:val="28"/>
        </w:rPr>
        <w:t xml:space="preserve">1. Executive Summary</w:t>
      </w:r>
    </w:p>
    <w:p>
      <w:pPr>
        <w:spacing w:after="80" w:before="80"/>
      </w:pPr>
      <w:r>
        <w:rPr>
          <w:rFonts w:ascii="Arial" w:cs="Arial" w:eastAsia="Arial" w:hAnsi="Arial"/>
          <w:sz w:val="22"/>
          <w:szCs w:val="22"/>
        </w:rPr>
        <w:t xml:space="preserve">InfraSoft Solutions Pvt. Ltd. is pleased to submit this bid in response to GlobalLogic's RFP-2026-AIDMS-001 for an AI-Powered Document Management System. We propose DocFlow AI — our enterprise DMS platform combining proven document lifecycle management with AI-powered classification, search, and compliance automation.</w:t>
      </w:r>
    </w:p>
    <w:p>
      <w:pPr>
        <w:spacing w:after="80" w:before="80"/>
      </w:pPr>
      <w:r>
        <w:rPr>
          <w:rFonts w:ascii="Arial" w:cs="Arial" w:eastAsia="Arial" w:hAnsi="Arial"/>
          <w:sz w:val="22"/>
          <w:szCs w:val="22"/>
        </w:rPr>
        <w:t xml:space="preserve">With 6 years of focused experience in document management and AI integration, InfraSoft has delivered 18 enterprise DMS implementations. Our proposed solution meets all core RFP requirements and is designed to scale to GlobalLogic's document volumes with a clear, phased delivery plan within the 32-week timeline.</w:t>
      </w:r>
    </w:p>
    <w:p>
      <w:pPr>
        <w:spacing w:after="80" w:before="80"/>
      </w:pPr>
      <w:r>
        <w:rPr>
          <w:rFonts w:ascii="Arial" w:cs="Arial" w:eastAsia="Arial" w:hAnsi="Arial"/>
          <w:sz w:val="22"/>
          <w:szCs w:val="22"/>
        </w:rPr>
        <w:t xml:space="preserve">Our bid targets a balanced score across all evaluation criteria, with particular strength in security compliance and implementation methodology. We acknowledge that some emerging AI capabilities (e.g. abstractive summarization) are in active development and we have been transparent about current limitations in the relevant sections below.</w:t>
      </w:r>
    </w:p>
    <w:p>
      <w:pPr>
        <w:pBdr>
          <w:bottom w:val="single" w:color="1A5C38" w:sz="6" w:space="1"/>
        </w:pBdr>
        <w:spacing w:after="120" w:before="120"/>
      </w:pPr>
    </w:p>
    <w:p>
      <w:pPr>
        <w:pStyle w:val="Heading1"/>
        <w:spacing w:after="120" w:before="360"/>
      </w:pPr>
      <w:r>
        <w:rPr>
          <w:rFonts w:ascii="Arial" w:cs="Arial" w:eastAsia="Arial" w:hAnsi="Arial"/>
          <w:b/>
          <w:bCs/>
          <w:color w:val="1A5C38"/>
          <w:sz w:val="28"/>
          <w:szCs w:val="28"/>
        </w:rPr>
        <w:t xml:space="preserve">2. Company Background &amp; References</w:t>
      </w:r>
    </w:p>
    <w:p>
      <w:pPr>
        <w:pStyle w:val="Heading2"/>
        <w:spacing w:after="80" w:before="200"/>
      </w:pPr>
      <w:r>
        <w:rPr>
          <w:rFonts w:ascii="Arial" w:cs="Arial" w:eastAsia="Arial" w:hAnsi="Arial"/>
          <w:b/>
          <w:bCs/>
          <w:color w:val="277548"/>
          <w:sz w:val="24"/>
          <w:szCs w:val="24"/>
        </w:rPr>
        <w:t xml:space="preserve">2.1 About InfraSoft Solutions</w:t>
      </w:r>
    </w:p>
    <w:p>
      <w:pPr>
        <w:pStyle w:val="ListParagraph"/>
        <w:numPr>
          <w:ilvl w:val="0"/>
          <w:numId w:val="2"/>
        </w:numPr>
        <w:spacing w:after="60" w:before="60"/>
      </w:pPr>
      <w:r>
        <w:rPr>
          <w:rFonts w:ascii="Arial" w:cs="Arial" w:eastAsia="Arial" w:hAnsi="Arial"/>
          <w:sz w:val="22"/>
          <w:szCs w:val="22"/>
        </w:rPr>
        <w:t xml:space="preserve">Founded: 2017 | HQ: Noida, Uttar Pradesh | Offices in Delhi NCR and Bengaluru</w:t>
      </w:r>
    </w:p>
    <w:p>
      <w:pPr>
        <w:pStyle w:val="ListParagraph"/>
        <w:numPr>
          <w:ilvl w:val="0"/>
          <w:numId w:val="2"/>
        </w:numPr>
        <w:spacing w:after="60" w:before="60"/>
      </w:pPr>
      <w:r>
        <w:rPr>
          <w:rFonts w:ascii="Arial" w:cs="Arial" w:eastAsia="Arial" w:hAnsi="Arial"/>
          <w:sz w:val="22"/>
          <w:szCs w:val="22"/>
        </w:rPr>
        <w:t xml:space="preserve">280 employees — 90 AI/ML engineers, 45 enterprise architects, 60 implementation consultants</w:t>
      </w:r>
    </w:p>
    <w:p>
      <w:pPr>
        <w:pStyle w:val="ListParagraph"/>
        <w:numPr>
          <w:ilvl w:val="0"/>
          <w:numId w:val="2"/>
        </w:numPr>
        <w:spacing w:after="60" w:before="60"/>
      </w:pPr>
      <w:r>
        <w:rPr>
          <w:rFonts w:ascii="Arial" w:cs="Arial" w:eastAsia="Arial" w:hAnsi="Arial"/>
          <w:sz w:val="22"/>
          <w:szCs w:val="22"/>
        </w:rPr>
        <w:t xml:space="preserve">ISO 27001:2022 certified (Certificate No. IS-2022-IN-087432, valid until March 2027)</w:t>
      </w:r>
    </w:p>
    <w:p>
      <w:pPr>
        <w:pStyle w:val="ListParagraph"/>
        <w:numPr>
          <w:ilvl w:val="0"/>
          <w:numId w:val="2"/>
        </w:numPr>
        <w:spacing w:after="60" w:before="60"/>
      </w:pPr>
      <w:r>
        <w:rPr>
          <w:rFonts w:ascii="Arial" w:cs="Arial" w:eastAsia="Arial" w:hAnsi="Arial"/>
          <w:sz w:val="22"/>
          <w:szCs w:val="22"/>
        </w:rPr>
        <w:t xml:space="preserve">AWS Certified Partner (Select Tier) | Microsoft Solutions Partner (Data &amp; AI)</w:t>
      </w:r>
    </w:p>
    <w:p>
      <w:pPr>
        <w:pStyle w:val="ListParagraph"/>
        <w:numPr>
          <w:ilvl w:val="0"/>
          <w:numId w:val="2"/>
        </w:numPr>
        <w:spacing w:after="60" w:before="60"/>
      </w:pPr>
      <w:r>
        <w:rPr>
          <w:rFonts w:ascii="Arial" w:cs="Arial" w:eastAsia="Arial" w:hAnsi="Arial"/>
          <w:sz w:val="22"/>
          <w:szCs w:val="22"/>
        </w:rPr>
        <w:t xml:space="preserve">18 completed enterprise DMS deployments over 6 years</w:t>
      </w:r>
    </w:p>
    <w:p>
      <w:pPr>
        <w:pStyle w:val="Heading2"/>
        <w:spacing w:after="80" w:before="200"/>
      </w:pPr>
      <w:r>
        <w:rPr>
          <w:rFonts w:ascii="Arial" w:cs="Arial" w:eastAsia="Arial" w:hAnsi="Arial"/>
          <w:b/>
          <w:bCs/>
          <w:color w:val="277548"/>
          <w:sz w:val="24"/>
          <w:szCs w:val="24"/>
        </w:rPr>
        <w:t xml:space="preserve">2.2 Client References (Mandatory — M-03)</w:t>
      </w:r>
    </w:p>
    <w:p>
      <w:pPr>
        <w:spacing w:after="80" w:before="80"/>
      </w:pPr>
      <w:r>
        <w:rPr>
          <w:rFonts w:ascii="Arial" w:cs="Arial" w:eastAsia="Arial" w:hAnsi="Arial"/>
          <w:b/>
          <w:bCs/>
          <w:sz w:val="22"/>
          <w:szCs w:val="22"/>
        </w:rPr>
        <w:t xml:space="preserve">All three references are directly relevant to DMS and AI-based document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c>
          <w:tcPr>
            <w:tcW w:type="dxa" w:w="20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Client</w:t>
            </w:r>
          </w:p>
        </w:tc>
        <w:tc>
          <w:tcPr>
            <w:tcW w:type="dxa" w:w="22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Contact Person &amp; Email</w:t>
            </w:r>
          </w:p>
        </w:tc>
        <w:tc>
          <w:tcPr>
            <w:tcW w:type="dxa" w:w="18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Project Scope</w:t>
            </w:r>
          </w:p>
        </w:tc>
        <w:tc>
          <w:tcPr>
            <w:tcW w:type="dxa" w:w="33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Canara Bank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Rajesh Kumar, IT Head
rajesh.k@canarabank.in
+91-80-2222-3344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DMS for 8M+ loan &amp; KYC documents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91.4% classification accuracy; 55% retrieval time reduction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Wipro Technologies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Sneha Patel, Procurement Lead
sneha.p@wipro.com
+91-80-4444-5566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Enterprise DMS + compliance workflows for 4 offices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2.1M docs migrated in 5 months; zero data loss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Star Health Insurance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Manoj Iyer, CTO
manoj.i@starhealth.in
+91-44-3333-7788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Claims &amp; policy DMS with AI OCR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98.6% OCR accuracy on printed forms; IRDAI compliant</w:t>
            </w:r>
          </w:p>
        </w:tc>
      </w:tr>
    </w:tbl>
    <w:p>
      <w:pPr>
        <w:pBdr>
          <w:bottom w:val="single" w:color="1A5C38" w:sz="6" w:space="1"/>
        </w:pBdr>
        <w:spacing w:after="120" w:before="120"/>
      </w:pPr>
    </w:p>
    <w:p>
      <w:pPr>
        <w:pStyle w:val="Heading1"/>
        <w:spacing w:after="120" w:before="360"/>
      </w:pPr>
      <w:r>
        <w:rPr>
          <w:rFonts w:ascii="Arial" w:cs="Arial" w:eastAsia="Arial" w:hAnsi="Arial"/>
          <w:b/>
          <w:bCs/>
          <w:color w:val="1A5C38"/>
          <w:sz w:val="28"/>
          <w:szCs w:val="28"/>
        </w:rPr>
        <w:t xml:space="preserve">3. Proposed Solution: DocFlow AI</w:t>
      </w:r>
    </w:p>
    <w:p>
      <w:pPr>
        <w:pStyle w:val="Heading2"/>
        <w:spacing w:after="80" w:before="200"/>
      </w:pPr>
      <w:r>
        <w:rPr>
          <w:rFonts w:ascii="Arial" w:cs="Arial" w:eastAsia="Arial" w:hAnsi="Arial"/>
          <w:b/>
          <w:bCs/>
          <w:color w:val="277548"/>
          <w:sz w:val="24"/>
          <w:szCs w:val="24"/>
        </w:rPr>
        <w:t xml:space="preserve">3.1 Architecture Overview</w:t>
      </w:r>
    </w:p>
    <w:p>
      <w:pPr>
        <w:spacing w:after="80" w:before="80"/>
      </w:pPr>
      <w:r>
        <w:rPr>
          <w:rFonts w:ascii="Arial" w:cs="Arial" w:eastAsia="Arial" w:hAnsi="Arial"/>
          <w:sz w:val="22"/>
          <w:szCs w:val="22"/>
        </w:rPr>
        <w:t xml:space="preserve">DocFlow AI is deployed on AWS using a microservices architecture (EKS + S3 + RDS Aurora + OpenSearch). The system uses multi-AZ deployment across two availability zones ensuring high availability. Load testing confirms the architecture handles up to 8 million documents (Appendix D), exceeding the 5M requirement.</w:t>
      </w:r>
    </w:p>
    <w:p>
      <w:pPr>
        <w:pStyle w:val="Heading2"/>
        <w:spacing w:after="80" w:before="200"/>
      </w:pPr>
      <w:r>
        <w:rPr>
          <w:rFonts w:ascii="Arial" w:cs="Arial" w:eastAsia="Arial" w:hAnsi="Arial"/>
          <w:b/>
          <w:bCs/>
          <w:color w:val="277548"/>
          <w:sz w:val="24"/>
          <w:szCs w:val="24"/>
        </w:rPr>
        <w:t xml:space="preserve">3.2 AI/ML Capabilities</w:t>
      </w:r>
    </w:p>
    <w:p>
      <w:pPr>
        <w:pStyle w:val="ListParagraph"/>
        <w:numPr>
          <w:ilvl w:val="0"/>
          <w:numId w:val="2"/>
        </w:numPr>
        <w:spacing w:after="60" w:before="60"/>
      </w:pPr>
      <w:r>
        <w:rPr>
          <w:rFonts w:ascii="Arial" w:cs="Arial" w:eastAsia="Arial" w:hAnsi="Arial"/>
          <w:sz w:val="22"/>
          <w:szCs w:val="22"/>
        </w:rPr>
        <w:t xml:space="preserve">Document Classification: Fine-tuned DistilBERT model achieving 91.4% accuracy on Canara Bank's 50,000-document benchmark corpus (Appendix B). Exceeds the 90% mandatory threshold.</w:t>
      </w:r>
    </w:p>
    <w:p>
      <w:pPr>
        <w:pStyle w:val="ListParagraph"/>
        <w:numPr>
          <w:ilvl w:val="0"/>
          <w:numId w:val="2"/>
        </w:numPr>
        <w:spacing w:after="60" w:before="60"/>
      </w:pPr>
      <w:r>
        <w:rPr>
          <w:rFonts w:ascii="Arial" w:cs="Arial" w:eastAsia="Arial" w:hAnsi="Arial"/>
          <w:sz w:val="22"/>
          <w:szCs w:val="22"/>
        </w:rPr>
        <w:t xml:space="preserve">Named Entity Recognition: Custom NER covering parties, dates, monetary amounts, and contract clauses — all four entity types from the RFP</w:t>
      </w:r>
    </w:p>
    <w:p>
      <w:pPr>
        <w:pStyle w:val="ListParagraph"/>
        <w:numPr>
          <w:ilvl w:val="0"/>
          <w:numId w:val="2"/>
        </w:numPr>
        <w:spacing w:after="60" w:before="60"/>
      </w:pPr>
      <w:r>
        <w:rPr>
          <w:rFonts w:ascii="Arial" w:cs="Arial" w:eastAsia="Arial" w:hAnsi="Arial"/>
          <w:sz w:val="22"/>
          <w:szCs w:val="22"/>
        </w:rPr>
        <w:t xml:space="preserve">Semantic Search: Sentence-BERT embeddings with OpenSearch vector indexing; natural language query support with sample queries in Appendix E</w:t>
      </w:r>
    </w:p>
    <w:p>
      <w:pPr>
        <w:pStyle w:val="ListParagraph"/>
        <w:numPr>
          <w:ilvl w:val="0"/>
          <w:numId w:val="2"/>
        </w:numPr>
        <w:spacing w:after="60" w:before="60"/>
      </w:pPr>
      <w:r>
        <w:rPr>
          <w:rFonts w:ascii="Arial" w:cs="Arial" w:eastAsia="Arial" w:hAnsi="Arial"/>
          <w:sz w:val="22"/>
          <w:szCs w:val="22"/>
        </w:rPr>
        <w:t xml:space="preserve">Document Summarization: Extractive summarization (not abstractive) for documents up to 50 pages; abstractive summarization via T5 is in beta — available for pilot on selected document types</w:t>
      </w:r>
    </w:p>
    <w:p>
      <w:pPr>
        <w:pStyle w:val="ListParagraph"/>
        <w:numPr>
          <w:ilvl w:val="0"/>
          <w:numId w:val="2"/>
        </w:numPr>
        <w:spacing w:after="60" w:before="60"/>
      </w:pPr>
      <w:r>
        <w:rPr>
          <w:rFonts w:ascii="Arial" w:cs="Arial" w:eastAsia="Arial" w:hAnsi="Arial"/>
          <w:sz w:val="22"/>
          <w:szCs w:val="22"/>
        </w:rPr>
        <w:t xml:space="preserve">Duplicate Detection: MinHash algorithm with configurable similarity threshold (default: 80%); near-duplicate flagging with evaluator review workflow</w:t>
      </w:r>
    </w:p>
    <w:p>
      <w:pPr>
        <w:pStyle w:val="ListParagraph"/>
        <w:numPr>
          <w:ilvl w:val="0"/>
          <w:numId w:val="2"/>
        </w:numPr>
        <w:spacing w:after="60" w:before="60"/>
      </w:pPr>
      <w:r>
        <w:rPr>
          <w:rFonts w:ascii="Arial" w:cs="Arial" w:eastAsia="Arial" w:hAnsi="Arial"/>
          <w:sz w:val="22"/>
          <w:szCs w:val="22"/>
        </w:rPr>
        <w:t xml:space="preserve">Retraining Pipeline: Weekly automated retraining triggered by human feedback; annotation UI built into the admin console; minimum 500 labeled samples required per retraining cycle</w:t>
      </w:r>
    </w:p>
    <w:p>
      <w:pPr>
        <w:pStyle w:val="Heading2"/>
        <w:spacing w:after="80" w:before="200"/>
      </w:pPr>
      <w:r>
        <w:rPr>
          <w:rFonts w:ascii="Arial" w:cs="Arial" w:eastAsia="Arial" w:hAnsi="Arial"/>
          <w:b/>
          <w:bCs/>
          <w:color w:val="277548"/>
          <w:sz w:val="24"/>
          <w:szCs w:val="24"/>
        </w:rPr>
        <w:t xml:space="preserve">3.3 Integration</w:t>
      </w:r>
    </w:p>
    <w:p>
      <w:pPr>
        <w:pStyle w:val="ListParagraph"/>
        <w:numPr>
          <w:ilvl w:val="0"/>
          <w:numId w:val="2"/>
        </w:numPr>
        <w:spacing w:after="60" w:before="60"/>
      </w:pPr>
      <w:r>
        <w:rPr>
          <w:rFonts w:ascii="Arial" w:cs="Arial" w:eastAsia="Arial" w:hAnsi="Arial"/>
          <w:sz w:val="22"/>
          <w:szCs w:val="22"/>
        </w:rPr>
        <w:t xml:space="preserve">REST APIs with OpenAPI 3.0 documentation; GraphQL available as optional add-on</w:t>
      </w:r>
    </w:p>
    <w:p>
      <w:pPr>
        <w:pStyle w:val="ListParagraph"/>
        <w:numPr>
          <w:ilvl w:val="0"/>
          <w:numId w:val="2"/>
        </w:numPr>
        <w:spacing w:after="60" w:before="60"/>
      </w:pPr>
      <w:r>
        <w:rPr>
          <w:rFonts w:ascii="Arial" w:cs="Arial" w:eastAsia="Arial" w:hAnsi="Arial"/>
          <w:sz w:val="22"/>
          <w:szCs w:val="22"/>
        </w:rPr>
        <w:t xml:space="preserve">Pre-built connectors for SAP ERP and Microsoft 365; Salesforce and SuccessFactors available via custom integration (additional timeline: 3 weeks)</w:t>
      </w:r>
    </w:p>
    <w:p>
      <w:pPr>
        <w:pStyle w:val="ListParagraph"/>
        <w:numPr>
          <w:ilvl w:val="0"/>
          <w:numId w:val="2"/>
        </w:numPr>
        <w:spacing w:after="60" w:before="60"/>
      </w:pPr>
      <w:r>
        <w:rPr>
          <w:rFonts w:ascii="Arial" w:cs="Arial" w:eastAsia="Arial" w:hAnsi="Arial"/>
          <w:sz w:val="22"/>
          <w:szCs w:val="22"/>
        </w:rPr>
        <w:t xml:space="preserve">SAML 2.0 SSO with Active Directory and Azure AD</w:t>
      </w:r>
    </w:p>
    <w:p>
      <w:pPr>
        <w:pStyle w:val="ListParagraph"/>
        <w:numPr>
          <w:ilvl w:val="0"/>
          <w:numId w:val="2"/>
        </w:numPr>
        <w:spacing w:after="60" w:before="60"/>
      </w:pPr>
      <w:r>
        <w:rPr>
          <w:rFonts w:ascii="Arial" w:cs="Arial" w:eastAsia="Arial" w:hAnsi="Arial"/>
          <w:sz w:val="22"/>
          <w:szCs w:val="22"/>
        </w:rPr>
        <w:t xml:space="preserve">Multi-language NLP: English and Hindi fully supported; 4 additional Indian languages in beta</w:t>
      </w:r>
    </w:p>
    <w:p>
      <w:pPr>
        <w:pBdr>
          <w:bottom w:val="single" w:color="1A5C38" w:sz="6" w:space="1"/>
        </w:pBdr>
        <w:spacing w:after="120" w:before="120"/>
      </w:pPr>
    </w:p>
    <w:p>
      <w:pPr>
        <w:pStyle w:val="Heading1"/>
        <w:spacing w:after="120" w:before="360"/>
      </w:pPr>
      <w:r>
        <w:rPr>
          <w:rFonts w:ascii="Arial" w:cs="Arial" w:eastAsia="Arial" w:hAnsi="Arial"/>
          <w:b/>
          <w:bCs/>
          <w:color w:val="1A5C38"/>
          <w:sz w:val="28"/>
          <w:szCs w:val="28"/>
        </w:rPr>
        <w:t xml:space="preserve">4. Security &amp; Compliance</w:t>
      </w:r>
    </w:p>
    <w:p>
      <w:pPr>
        <w:pStyle w:val="ListParagraph"/>
        <w:numPr>
          <w:ilvl w:val="0"/>
          <w:numId w:val="2"/>
        </w:numPr>
        <w:spacing w:after="60" w:before="60"/>
      </w:pPr>
      <w:r>
        <w:rPr>
          <w:rFonts w:ascii="Arial" w:cs="Arial" w:eastAsia="Arial" w:hAnsi="Arial"/>
          <w:sz w:val="22"/>
          <w:szCs w:val="22"/>
        </w:rPr>
        <w:t xml:space="preserve">AES-256 encryption at rest; TLS 1.3 in transit — both exceed RFP minimums</w:t>
      </w:r>
    </w:p>
    <w:p>
      <w:pPr>
        <w:pStyle w:val="ListParagraph"/>
        <w:numPr>
          <w:ilvl w:val="0"/>
          <w:numId w:val="2"/>
        </w:numPr>
        <w:spacing w:after="60" w:before="60"/>
      </w:pPr>
      <w:r>
        <w:rPr>
          <w:rFonts w:ascii="Arial" w:cs="Arial" w:eastAsia="Arial" w:hAnsi="Arial"/>
          <w:sz w:val="22"/>
          <w:szCs w:val="22"/>
        </w:rPr>
        <w:t xml:space="preserve">ISO 27001:2022 certified — Certificate No. IS-2022-IN-087432, valid until March 2027 (Appendix C)</w:t>
      </w:r>
    </w:p>
    <w:p>
      <w:pPr>
        <w:pStyle w:val="ListParagraph"/>
        <w:numPr>
          <w:ilvl w:val="0"/>
          <w:numId w:val="2"/>
        </w:numPr>
        <w:spacing w:after="60" w:before="60"/>
      </w:pPr>
      <w:r>
        <w:rPr>
          <w:rFonts w:ascii="Arial" w:cs="Arial" w:eastAsia="Arial" w:hAnsi="Arial"/>
          <w:sz w:val="22"/>
          <w:szCs w:val="22"/>
        </w:rPr>
        <w:t xml:space="preserve">Role-Based Access Control (RBAC) with AD integration; ABAC extension available</w:t>
      </w:r>
    </w:p>
    <w:p>
      <w:pPr>
        <w:pStyle w:val="ListParagraph"/>
        <w:numPr>
          <w:ilvl w:val="0"/>
          <w:numId w:val="2"/>
        </w:numPr>
        <w:spacing w:after="60" w:before="60"/>
      </w:pPr>
      <w:r>
        <w:rPr>
          <w:rFonts w:ascii="Arial" w:cs="Arial" w:eastAsia="Arial" w:hAnsi="Arial"/>
          <w:sz w:val="22"/>
          <w:szCs w:val="22"/>
        </w:rPr>
        <w:t xml:space="preserve">Tamper-evident audit logging via AWS CloudTrail with SHA-256 hash chaining</w:t>
      </w:r>
    </w:p>
    <w:p>
      <w:pPr>
        <w:pStyle w:val="ListParagraph"/>
        <w:numPr>
          <w:ilvl w:val="0"/>
          <w:numId w:val="2"/>
        </w:numPr>
        <w:spacing w:after="60" w:before="60"/>
      </w:pPr>
      <w:r>
        <w:rPr>
          <w:rFonts w:ascii="Arial" w:cs="Arial" w:eastAsia="Arial" w:hAnsi="Arial"/>
          <w:sz w:val="22"/>
          <w:szCs w:val="22"/>
        </w:rPr>
        <w:t xml:space="preserve">RPO: 3 hours | RTO: 1.5 hours — both meet RFP requirements (RPO ≤ 4 hrs, RTO ≤ 2 hrs)</w:t>
      </w:r>
    </w:p>
    <w:p>
      <w:pPr>
        <w:pStyle w:val="ListParagraph"/>
        <w:numPr>
          <w:ilvl w:val="0"/>
          <w:numId w:val="2"/>
        </w:numPr>
        <w:spacing w:after="60" w:before="60"/>
      </w:pPr>
      <w:r>
        <w:rPr>
          <w:rFonts w:ascii="Arial" w:cs="Arial" w:eastAsia="Arial" w:hAnsi="Arial"/>
          <w:sz w:val="22"/>
          <w:szCs w:val="22"/>
        </w:rPr>
        <w:t xml:space="preserve">Penetration testing: Bi-annual by CERT-In empanelled vendor (last test: April 2026, report in Appendix F)</w:t>
      </w:r>
    </w:p>
    <w:p>
      <w:pPr>
        <w:pStyle w:val="ListParagraph"/>
        <w:numPr>
          <w:ilvl w:val="0"/>
          <w:numId w:val="2"/>
        </w:numPr>
        <w:spacing w:after="60" w:before="60"/>
      </w:pPr>
      <w:r>
        <w:rPr>
          <w:rFonts w:ascii="Arial" w:cs="Arial" w:eastAsia="Arial" w:hAnsi="Arial"/>
          <w:sz w:val="22"/>
          <w:szCs w:val="22"/>
        </w:rPr>
        <w:t xml:space="preserve">Data governance policy aligned with IT Act 2000 and DPDP Act 2023</w:t>
      </w:r>
    </w:p>
    <w:p>
      <w:pPr>
        <w:pBdr>
          <w:bottom w:val="single" w:color="1A5C38" w:sz="6" w:space="1"/>
        </w:pBdr>
        <w:spacing w:after="120" w:before="120"/>
      </w:pPr>
    </w:p>
    <w:p>
      <w:pPr>
        <w:pStyle w:val="Heading1"/>
        <w:spacing w:after="120" w:before="360"/>
      </w:pPr>
      <w:r>
        <w:rPr>
          <w:rFonts w:ascii="Arial" w:cs="Arial" w:eastAsia="Arial" w:hAnsi="Arial"/>
          <w:b/>
          <w:bCs/>
          <w:color w:val="1A5C38"/>
          <w:sz w:val="28"/>
          <w:szCs w:val="28"/>
        </w:rPr>
        <w:t xml:space="preserve">5.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53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Activities &amp; Milestones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1: Discovery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Stakeholder interviews, AS-IS process mapping, finalized BRD, SRS, and risk register (min. 8 risks identified)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2: Design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4–8</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architecture, API contracts, UI wireframes, data model, security design, reviewed by GlobalLogic team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3: Development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9–20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x 2-week sprints; core DMS, AI model integration, RBAC, workflow engine, SAP/M365 connectors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4: Testing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21–24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UAT with GlobalLogic power users, pen testing, performance benchmark (5,000 concurrent users), accessibility audit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5: Deployment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25–28</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Blue-green production deployment, 2-day on-site hypercare, end-user training (up to 200 users), go-live checklist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6: Stabilization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29–32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P1/P2 bug fixes within SLA, performance tuning, documentation handover, project closure sign-off</w:t>
            </w:r>
          </w:p>
        </w:tc>
      </w:tr>
    </w:tbl>
    <w:p>
      <w:pPr>
        <w:pStyle w:val="Heading2"/>
        <w:spacing w:after="80" w:before="200"/>
      </w:pPr>
      <w:r>
        <w:rPr>
          <w:rFonts w:ascii="Arial" w:cs="Arial" w:eastAsia="Arial" w:hAnsi="Arial"/>
          <w:b/>
          <w:bCs/>
          <w:color w:val="277548"/>
          <w:sz w:val="24"/>
          <w:szCs w:val="24"/>
        </w:rPr>
        <w:t xml:space="preserve">5.1 Risk Register (Summary)</w:t>
      </w:r>
    </w:p>
    <w:p>
      <w:pPr>
        <w:spacing w:after="80" w:before="80"/>
      </w:pPr>
      <w:r>
        <w:rPr>
          <w:rFonts w:ascii="Arial" w:cs="Arial" w:eastAsia="Arial" w:hAnsi="Arial"/>
          <w:sz w:val="22"/>
          <w:szCs w:val="22"/>
        </w:rPr>
        <w:t xml:space="preserve">Full risk register provided in Appendix G. Key risks identified:</w:t>
      </w:r>
    </w:p>
    <w:p>
      <w:pPr>
        <w:pStyle w:val="ListParagraph"/>
        <w:numPr>
          <w:ilvl w:val="0"/>
          <w:numId w:val="2"/>
        </w:numPr>
        <w:spacing w:after="60" w:before="60"/>
      </w:pPr>
      <w:r>
        <w:rPr>
          <w:rFonts w:ascii="Arial" w:cs="Arial" w:eastAsia="Arial" w:hAnsi="Arial"/>
          <w:sz w:val="22"/>
          <w:szCs w:val="22"/>
        </w:rPr>
        <w:t xml:space="preserve">Data migration complexity — Mitigation: phased migration with parallel run period</w:t>
      </w:r>
    </w:p>
    <w:p>
      <w:pPr>
        <w:pStyle w:val="ListParagraph"/>
        <w:numPr>
          <w:ilvl w:val="0"/>
          <w:numId w:val="2"/>
        </w:numPr>
        <w:spacing w:after="60" w:before="60"/>
      </w:pPr>
      <w:r>
        <w:rPr>
          <w:rFonts w:ascii="Arial" w:cs="Arial" w:eastAsia="Arial" w:hAnsi="Arial"/>
          <w:sz w:val="22"/>
          <w:szCs w:val="22"/>
        </w:rPr>
        <w:t xml:space="preserve">AI model performance on GlobalLogic-specific documents — Mitigation: 2-week model fine-tuning sprint in Phase 3</w:t>
      </w:r>
    </w:p>
    <w:p>
      <w:pPr>
        <w:pStyle w:val="ListParagraph"/>
        <w:numPr>
          <w:ilvl w:val="0"/>
          <w:numId w:val="2"/>
        </w:numPr>
        <w:spacing w:after="60" w:before="60"/>
      </w:pPr>
      <w:r>
        <w:rPr>
          <w:rFonts w:ascii="Arial" w:cs="Arial" w:eastAsia="Arial" w:hAnsi="Arial"/>
          <w:sz w:val="22"/>
          <w:szCs w:val="22"/>
        </w:rPr>
        <w:t xml:space="preserve">SSO integration delays with AD — Mitigation: early integration spike in Week 4</w:t>
      </w:r>
    </w:p>
    <w:p>
      <w:pPr>
        <w:pStyle w:val="ListParagraph"/>
        <w:numPr>
          <w:ilvl w:val="0"/>
          <w:numId w:val="2"/>
        </w:numPr>
        <w:spacing w:after="60" w:before="60"/>
      </w:pPr>
      <w:r>
        <w:rPr>
          <w:rFonts w:ascii="Arial" w:cs="Arial" w:eastAsia="Arial" w:hAnsi="Arial"/>
          <w:sz w:val="22"/>
          <w:szCs w:val="22"/>
        </w:rPr>
        <w:t xml:space="preserve">User adoption resistance — Mitigation: change management plan and train-the-trainer program</w:t>
      </w:r>
    </w:p>
    <w:p>
      <w:pPr>
        <w:pStyle w:val="ListParagraph"/>
        <w:numPr>
          <w:ilvl w:val="0"/>
          <w:numId w:val="2"/>
        </w:numPr>
        <w:spacing w:after="60" w:before="60"/>
      </w:pPr>
      <w:r>
        <w:rPr>
          <w:rFonts w:ascii="Arial" w:cs="Arial" w:eastAsia="Arial" w:hAnsi="Arial"/>
          <w:sz w:val="22"/>
          <w:szCs w:val="22"/>
        </w:rPr>
        <w:t xml:space="preserve">Scope creep from new requirements — Mitigation: formal change control process with GlobalLogic PM</w:t>
      </w:r>
    </w:p>
    <w:p>
      <w:pPr>
        <w:pBdr>
          <w:bottom w:val="single" w:color="1A5C38" w:sz="6" w:space="1"/>
        </w:pBdr>
        <w:spacing w:after="120" w:before="120"/>
      </w:pPr>
    </w:p>
    <w:p>
      <w:pPr>
        <w:pStyle w:val="Heading1"/>
        <w:spacing w:after="120" w:before="360"/>
      </w:pPr>
      <w:r>
        <w:rPr>
          <w:rFonts w:ascii="Arial" w:cs="Arial" w:eastAsia="Arial" w:hAnsi="Arial"/>
          <w:b/>
          <w:bCs/>
          <w:color w:val="1A5C38"/>
          <w:sz w:val="28"/>
          <w:szCs w:val="28"/>
        </w:rPr>
        <w:t xml:space="preserve">6. Proposed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7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Credentials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Project Manager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Anita Sharma</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PMP certified (PMI); 10 yrs PM experience; 6 enterprise DMS projects delivered on time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Solution Architect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Saurav Joshi</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Solutions Architect Professional; 9 yrs enterprise architecture; led 4 DMS platform designs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AI/ML Lead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 Priyanka Singh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PhD AI, IIT Delhi; 7 yrs NLP; specializes in document intelligence and transformer fine-tuning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Backend Lead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Karthik Nair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yrs backend; Java/Python microservices; AWS Certified Developer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Security Lead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Rahul Gupta</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CISSP certified; 8 yrs information security; led ISO 27001 certification for InfraSoft</w:t>
            </w:r>
          </w:p>
        </w:tc>
      </w:tr>
    </w:tbl>
    <w:p>
      <w:pPr>
        <w:pBdr>
          <w:bottom w:val="single" w:color="1A5C38" w:sz="6" w:space="1"/>
        </w:pBdr>
        <w:spacing w:after="120" w:before="120"/>
      </w:pPr>
    </w:p>
    <w:p>
      <w:pPr>
        <w:pStyle w:val="Heading1"/>
        <w:spacing w:after="120" w:before="360"/>
      </w:pPr>
      <w:r>
        <w:rPr>
          <w:rFonts w:ascii="Arial" w:cs="Arial" w:eastAsia="Arial" w:hAnsi="Arial"/>
          <w:b/>
          <w:bCs/>
          <w:color w:val="1A5C38"/>
          <w:sz w:val="28"/>
          <w:szCs w:val="28"/>
        </w:rPr>
        <w:t xml:space="preserve">7. Pricing &amp; 3-Year TCO (in INR)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c>
          <w:tcPr>
            <w:tcW w:type="dxa" w:w="43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 Item</w:t>
            </w:r>
          </w:p>
        </w:tc>
        <w:tc>
          <w:tcPr>
            <w:tcW w:type="dxa" w:w="25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Year 1 (INR)</w:t>
            </w:r>
          </w:p>
        </w:tc>
        <w:tc>
          <w:tcPr>
            <w:tcW w:type="dxa" w:w="25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3-Year TCO (INR)</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Implementation &amp; Deployment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₹72,00,000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₹72,00,000</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Licensing (Enterprise — annual)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₹20,00,000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₹60,00,000</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Model Training &amp; Fine-Tuning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₹14,00,000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₹22,00,000</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Infrastructure (estimated)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₹10,00,000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₹30,00,000</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 Support &amp; Maintenance (L1–L3)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₹12,00,000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₹36,00,000</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&amp; Change Management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₹5,00,000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sz w:val="20"/>
                <w:szCs w:val="20"/>
              </w:rPr>
              <w:t xml:space="preserve">₹5,00,000</w:t>
            </w:r>
          </w:p>
        </w:tc>
      </w:tr>
      <w:tr>
        <w:tc>
          <w:tcPr>
            <w:tcW w:type="dxa" w:w="4360"/>
            <w:tcBorders>
              <w:top w:val="single" w:color="CCCCCC" w:sz="1"/>
              <w:left w:val="single" w:color="CCCCCC" w:sz="1"/>
              <w:bottom w:val="single" w:color="CCCCCC" w:sz="1"/>
              <w:right w:val="single" w:color="CCCCCC" w:sz="1"/>
            </w:tcBorders>
            <w:shd w:fill="E8F5EE" w:val="clear"/>
            <w:tcMar>
              <w:top w:type="dxa" w:w="100"/>
              <w:left w:type="dxa" w:w="120"/>
              <w:bottom w:type="dxa" w:w="100"/>
              <w:right w:type="dxa" w:w="120"/>
            </w:tcMar>
          </w:tcPr>
          <w:p>
            <w:r>
              <w:rPr>
                <w:rFonts w:ascii="Arial" w:cs="Arial" w:eastAsia="Arial" w:hAnsi="Arial"/>
                <w:b/>
                <w:bCs/>
                <w:color w:val="1A5C38"/>
                <w:sz w:val="22"/>
                <w:szCs w:val="22"/>
              </w:rPr>
              <w:t xml:space="preserve">TOTAL (excl. GST @ 18%)</w:t>
            </w:r>
          </w:p>
        </w:tc>
        <w:tc>
          <w:tcPr>
            <w:tcW w:type="dxa" w:w="2500"/>
            <w:tcBorders>
              <w:top w:val="single" w:color="CCCCCC" w:sz="1"/>
              <w:left w:val="single" w:color="CCCCCC" w:sz="1"/>
              <w:bottom w:val="single" w:color="CCCCCC" w:sz="1"/>
              <w:right w:val="single" w:color="CCCCCC" w:sz="1"/>
            </w:tcBorders>
            <w:shd w:fill="E8F5EE" w:val="clear"/>
            <w:tcMar>
              <w:top w:type="dxa" w:w="100"/>
              <w:left w:type="dxa" w:w="120"/>
              <w:bottom w:type="dxa" w:w="100"/>
              <w:right w:type="dxa" w:w="120"/>
            </w:tcMar>
          </w:tcPr>
          <w:p>
            <w:pPr>
              <w:jc w:val="right"/>
            </w:pPr>
            <w:r>
              <w:rPr>
                <w:rFonts w:ascii="Arial" w:cs="Arial" w:eastAsia="Arial" w:hAnsi="Arial"/>
                <w:b/>
                <w:bCs/>
                <w:color w:val="1A5C38"/>
                <w:sz w:val="22"/>
                <w:szCs w:val="22"/>
              </w:rPr>
              <w:t xml:space="preserve">₹1,33,00,000</w:t>
            </w:r>
          </w:p>
        </w:tc>
        <w:tc>
          <w:tcPr>
            <w:tcW w:type="dxa" w:w="2500"/>
            <w:tcBorders>
              <w:top w:val="single" w:color="CCCCCC" w:sz="1"/>
              <w:left w:val="single" w:color="CCCCCC" w:sz="1"/>
              <w:bottom w:val="single" w:color="CCCCCC" w:sz="1"/>
              <w:right w:val="single" w:color="CCCCCC" w:sz="1"/>
            </w:tcBorders>
            <w:shd w:fill="E8F5EE" w:val="clear"/>
            <w:tcMar>
              <w:top w:type="dxa" w:w="100"/>
              <w:left w:type="dxa" w:w="120"/>
              <w:bottom w:type="dxa" w:w="100"/>
              <w:right w:type="dxa" w:w="120"/>
            </w:tcMar>
          </w:tcPr>
          <w:p>
            <w:pPr>
              <w:jc w:val="right"/>
            </w:pPr>
            <w:r>
              <w:rPr>
                <w:rFonts w:ascii="Arial" w:cs="Arial" w:eastAsia="Arial" w:hAnsi="Arial"/>
                <w:b/>
                <w:bCs/>
                <w:color w:val="1A5C38"/>
                <w:sz w:val="22"/>
                <w:szCs w:val="22"/>
              </w:rPr>
              <w:t xml:space="preserve">₹2,25,00,000</w:t>
            </w:r>
          </w:p>
        </w:tc>
      </w:tr>
    </w:tbl>
    <w:p>
      <w:pPr>
        <w:spacing w:after="80" w:before="80"/>
      </w:pPr>
      <w:r>
        <w:rPr>
          <w:rFonts w:ascii="Arial" w:cs="Arial" w:eastAsia="Arial" w:hAnsi="Arial"/>
          <w:sz w:val="22"/>
          <w:szCs w:val="22"/>
        </w:rPr>
        <w:t xml:space="preserve">Payment milestones: 30% on contract execution, 40% on UAT sign-off, 30% on production go-live.</w:t>
      </w:r>
    </w:p>
    <w:p>
      <w:pPr>
        <w:pBdr>
          <w:bottom w:val="single" w:color="1A5C38" w:sz="6" w:space="1"/>
        </w:pBdr>
        <w:spacing w:after="120" w:before="120"/>
      </w:pPr>
    </w:p>
    <w:p>
      <w:pPr>
        <w:pStyle w:val="Heading1"/>
        <w:spacing w:after="120" w:before="360"/>
      </w:pPr>
      <w:r>
        <w:rPr>
          <w:rFonts w:ascii="Arial" w:cs="Arial" w:eastAsia="Arial" w:hAnsi="Arial"/>
          <w:b/>
          <w:bCs/>
          <w:color w:val="1A5C38"/>
          <w:sz w:val="28"/>
          <w:szCs w:val="28"/>
        </w:rPr>
        <w:t xml:space="preserve">8. Bid Self-Assessment vs. RFP Evaluation Criteria</w:t>
      </w:r>
    </w:p>
    <w:p>
      <w:pPr>
        <w:spacing w:after="80" w:before="80"/>
      </w:pPr>
      <w:r>
        <w:rPr>
          <w:rFonts w:ascii="Arial" w:cs="Arial" w:eastAsia="Arial" w:hAnsi="Arial"/>
          <w:sz w:val="22"/>
          <w:szCs w:val="22"/>
        </w:rPr>
        <w:t xml:space="preserve">Honest self-assessment based on RFP Section 4 weightages. Target band: 75–80%.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200"/>
        <w:gridCol w:w="3960"/>
      </w:tblGrid>
      <w:tr>
        <w:tc>
          <w:tcPr>
            <w:tcW w:type="dxa" w:w="32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Evaluation Criterion</w:t>
            </w:r>
          </w:p>
        </w:tc>
        <w:tc>
          <w:tcPr>
            <w:tcW w:type="dxa" w:w="10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c>
          <w:tcPr>
            <w:tcW w:type="dxa" w:w="12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9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Justification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Technical Solution &amp; AI (30%)</w:t>
            </w:r>
          </w:p>
        </w:tc>
        <w:tc>
          <w:tcPr>
            <w:tcW w:type="dxa" w:w="1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bCs/>
                <w:color w:val="B8860B"/>
                <w:sz w:val="20"/>
                <w:szCs w:val="20"/>
              </w:rPr>
              <w:t xml:space="preserve">7/10</w:t>
            </w:r>
          </w:p>
        </w:tc>
        <w:tc>
          <w:tcPr>
            <w:tcW w:type="dxa" w:w="1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bCs/>
                <w:color w:val="B8860B"/>
                <w:sz w:val="20"/>
                <w:szCs w:val="20"/>
              </w:rPr>
              <w:t xml:space="preserve">70%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91.4% classification, semantic search, NER, extractive summarisation — abstractive summarisation in beta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Functional Coverage (20%)</w:t>
            </w:r>
          </w:p>
        </w:tc>
        <w:tc>
          <w:tcPr>
            <w:tcW w:type="dxa" w:w="1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bCs/>
                <w:color w:val="1A5C38"/>
                <w:sz w:val="20"/>
                <w:szCs w:val="20"/>
              </w:rPr>
              <w:t xml:space="preserve">8/10</w:t>
            </w:r>
          </w:p>
        </w:tc>
        <w:tc>
          <w:tcPr>
            <w:tcW w:type="dxa" w:w="1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bCs/>
                <w:color w:val="1A5C38"/>
                <w:sz w:val="20"/>
                <w:szCs w:val="20"/>
              </w:rPr>
              <w:t xml:space="preserve">80%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10 core capabilities addressed; GraphQL as optional add-on; Salesforce/SuccessFactors need extra 3 weeks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Implementation Approach (15%)</w:t>
            </w:r>
          </w:p>
        </w:tc>
        <w:tc>
          <w:tcPr>
            <w:tcW w:type="dxa" w:w="1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bCs/>
                <w:color w:val="1A5C38"/>
                <w:sz w:val="20"/>
                <w:szCs w:val="20"/>
              </w:rPr>
              <w:t xml:space="preserve">8/10</w:t>
            </w:r>
          </w:p>
        </w:tc>
        <w:tc>
          <w:tcPr>
            <w:tcW w:type="dxa" w:w="1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bCs/>
                <w:color w:val="1A5C38"/>
                <w:sz w:val="20"/>
                <w:szCs w:val="20"/>
              </w:rPr>
              <w:t xml:space="preserve">80%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6 RFP phases covered; sprint-based; risk register with 8 risks; 32-week timeline matched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Vendor Experience &amp; References (15%)</w:t>
            </w:r>
          </w:p>
        </w:tc>
        <w:tc>
          <w:tcPr>
            <w:tcW w:type="dxa" w:w="1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bCs/>
                <w:color w:val="B8860B"/>
                <w:sz w:val="20"/>
                <w:szCs w:val="20"/>
              </w:rPr>
              <w:t xml:space="preserve">7/10</w:t>
            </w:r>
          </w:p>
        </w:tc>
        <w:tc>
          <w:tcPr>
            <w:tcW w:type="dxa" w:w="1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bCs/>
                <w:color w:val="B8860B"/>
                <w:sz w:val="20"/>
                <w:szCs w:val="20"/>
              </w:rPr>
              <w:t xml:space="preserve">70%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yrs experience, 18 DMS deployments, 3 fully relevant references with contact details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Security &amp; Compliance (10%)</w:t>
            </w:r>
          </w:p>
        </w:tc>
        <w:tc>
          <w:tcPr>
            <w:tcW w:type="dxa" w:w="1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bCs/>
                <w:color w:val="1A5C38"/>
                <w:sz w:val="20"/>
                <w:szCs w:val="20"/>
              </w:rPr>
              <w:t xml:space="preserve">9/10</w:t>
            </w:r>
          </w:p>
        </w:tc>
        <w:tc>
          <w:tcPr>
            <w:tcW w:type="dxa" w:w="1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bCs/>
                <w:color w:val="1A5C38"/>
                <w:sz w:val="20"/>
                <w:szCs w:val="20"/>
              </w:rPr>
              <w:t xml:space="preserve">90%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27001 certified, RPO/RTO exceed requirements, bi-annual pen testing, DPDP Act aligned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 Cost of Ownership (10%)</w:t>
            </w:r>
          </w:p>
        </w:tc>
        <w:tc>
          <w:tcPr>
            <w:tcW w:type="dxa" w:w="1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bCs/>
                <w:color w:val="1A5C38"/>
                <w:sz w:val="20"/>
                <w:szCs w:val="20"/>
              </w:rPr>
              <w:t xml:space="preserve">8/10</w:t>
            </w:r>
          </w:p>
        </w:tc>
        <w:tc>
          <w:tcPr>
            <w:tcW w:type="dxa" w:w="1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pPr>
              <w:jc w:val="center"/>
            </w:pPr>
            <w:r>
              <w:rPr>
                <w:rFonts w:ascii="Arial" w:cs="Arial" w:eastAsia="Arial" w:hAnsi="Arial"/>
                <w:b/>
                <w:bCs/>
                <w:color w:val="1A5C38"/>
                <w:sz w:val="20"/>
                <w:szCs w:val="20"/>
              </w:rPr>
              <w:t xml:space="preserve">80%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Competitive 3-yr TCO in INR, itemized breakdown, milestone-linked payment terms</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c>
          <w:tcPr>
            <w:tcW w:type="dxa" w:w="5360"/>
            <w:tcBorders>
              <w:top w:val="single" w:color="CCCCCC" w:sz="1"/>
              <w:left w:val="single" w:color="CCCCCC" w:sz="1"/>
              <w:bottom w:val="single" w:color="CCCCCC" w:sz="1"/>
              <w:right w:val="single" w:color="CCCCCC" w:sz="1"/>
            </w:tcBorders>
            <w:shd w:fill="1A5C38" w:val="clear"/>
            <w:tcMar>
              <w:top w:type="dxa" w:w="120"/>
              <w:left w:type="dxa" w:w="200"/>
              <w:bottom w:type="dxa" w:w="120"/>
              <w:right w:type="dxa" w:w="200"/>
            </w:tcMar>
          </w:tcPr>
          <w:p>
            <w:r>
              <w:rPr>
                <w:rFonts w:ascii="Arial" w:cs="Arial" w:eastAsia="Arial" w:hAnsi="Arial"/>
                <w:b/>
                <w:bCs/>
                <w:color w:val="FFFFFF"/>
                <w:sz w:val="24"/>
                <w:szCs w:val="24"/>
              </w:rPr>
              <w:t xml:space="preserve">Weighted Overall Score (estimated)  →  TARGET: 75–80%</w:t>
            </w:r>
          </w:p>
        </w:tc>
        <w:tc>
          <w:tcPr>
            <w:tcW w:type="dxa" w:w="4000"/>
            <w:tcBorders>
              <w:top w:val="single" w:color="CCCCCC" w:sz="1"/>
              <w:left w:val="single" w:color="CCCCCC" w:sz="1"/>
              <w:bottom w:val="single" w:color="CCCCCC" w:sz="1"/>
              <w:right w:val="single" w:color="CCCCCC" w:sz="1"/>
            </w:tcBorders>
            <w:shd w:fill="E8F5EE" w:val="clear"/>
            <w:tcMar>
              <w:top w:type="dxa" w:w="120"/>
              <w:left w:type="dxa" w:w="200"/>
              <w:bottom w:type="dxa" w:w="120"/>
              <w:right w:type="dxa" w:w="200"/>
            </w:tcMar>
          </w:tcPr>
          <w:p>
            <w:pPr>
              <w:jc w:val="center"/>
            </w:pPr>
            <w:r>
              <w:rPr>
                <w:rFonts w:ascii="Arial" w:cs="Arial" w:eastAsia="Arial" w:hAnsi="Arial"/>
                <w:b/>
                <w:bCs/>
                <w:color w:val="1A5C38"/>
                <w:sz w:val="26"/>
                <w:szCs w:val="26"/>
              </w:rPr>
              <w:t xml:space="preserve">77 / 100  →  77%  ✔ PASS</w:t>
            </w:r>
          </w:p>
        </w:tc>
      </w:tr>
    </w:tbl>
    <w:p>
      <w:pPr>
        <w:spacing w:after="80" w:before="80"/>
      </w:pPr>
      <w:r>
        <w:rPr>
          <w:rFonts w:ascii="Arial" w:cs="Arial" w:eastAsia="Arial" w:hAnsi="Arial"/>
          <w:sz w:val="22"/>
          <w:szCs w:val="22"/>
        </w:rPr>
        <w:t xml:space="preserve">Weighted calculation: (7×0.30) + (8×0.20) + (8×0.15) + (7×0.15) + (9×0.10) + (8×0.10) = 2.1 + 1.6 + 1.2 + 1.05 + 0.9 + 0.8 = 7.65 → 76.5% ≈ 77%</w:t>
      </w:r>
    </w:p>
    <w:p>
      <w:pPr>
        <w:pBdr>
          <w:bottom w:val="single" w:color="1A5C38" w:sz="6" w:space="1"/>
        </w:pBdr>
        <w:spacing w:after="120" w:before="120"/>
      </w:pPr>
    </w:p>
    <w:p>
      <w:pPr>
        <w:pStyle w:val="Heading1"/>
        <w:spacing w:after="120" w:before="360"/>
      </w:pPr>
      <w:r>
        <w:rPr>
          <w:rFonts w:ascii="Arial" w:cs="Arial" w:eastAsia="Arial" w:hAnsi="Arial"/>
          <w:b/>
          <w:bCs/>
          <w:color w:val="1A5C38"/>
          <w:sz w:val="28"/>
          <w:szCs w:val="28"/>
        </w:rPr>
        <w:t xml:space="preserve">9. Appendices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Appendix</w:t>
            </w:r>
          </w:p>
        </w:tc>
        <w:tc>
          <w:tcPr>
            <w:tcW w:type="dxa" w:w="796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1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b/>
                <w:bCs/>
                <w:color w:val="1A5C38"/>
                <w:sz w:val="20"/>
                <w:szCs w:val="20"/>
              </w:rPr>
              <w:t xml:space="preserve">Appendix A</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Digital Signature Certificate — Vikram Anand, CEO (satisfies M-01)</w:t>
            </w:r>
          </w:p>
        </w:tc>
      </w:tr>
      <w:tr>
        <w:tc>
          <w:tcPr>
            <w:tcW w:type="dxa" w:w="1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b/>
                <w:bCs/>
                <w:color w:val="1A5C38"/>
                <w:sz w:val="20"/>
                <w:szCs w:val="20"/>
              </w:rPr>
              <w:t xml:space="preserve">Appendix B</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Classification Benchmark Report — 50,000 document corpus, 91.4% accuracy (satisfies M-04)</w:t>
            </w:r>
          </w:p>
        </w:tc>
      </w:tr>
      <w:tr>
        <w:tc>
          <w:tcPr>
            <w:tcW w:type="dxa" w:w="1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b/>
                <w:bCs/>
                <w:color w:val="1A5C38"/>
                <w:sz w:val="20"/>
                <w:szCs w:val="20"/>
              </w:rPr>
              <w:t xml:space="preserve">Appendix C</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27001:2022 Certificate — Cert No. IS-2022-IN-087432, valid until March 2027 (satisfies M-05)</w:t>
            </w:r>
          </w:p>
        </w:tc>
      </w:tr>
      <w:tr>
        <w:tc>
          <w:tcPr>
            <w:tcW w:type="dxa" w:w="1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b/>
                <w:bCs/>
                <w:color w:val="1A5C38"/>
                <w:sz w:val="20"/>
                <w:szCs w:val="20"/>
              </w:rPr>
              <w:t xml:space="preserve">Appendix D</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Architecture Diagram — EKS + S3 capacity validated to 8M documents (satisfies M-06)</w:t>
            </w:r>
          </w:p>
        </w:tc>
      </w:tr>
      <w:tr>
        <w:tc>
          <w:tcPr>
            <w:tcW w:type="dxa" w:w="1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b/>
                <w:bCs/>
                <w:color w:val="1A5C38"/>
                <w:sz w:val="20"/>
                <w:szCs w:val="20"/>
              </w:rPr>
              <w:t xml:space="preserve">Appendix E</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Semantic Search Sample Queries — natural language query examples on test corpus</w:t>
            </w:r>
          </w:p>
        </w:tc>
      </w:tr>
      <w:tr>
        <w:tc>
          <w:tcPr>
            <w:tcW w:type="dxa" w:w="1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b/>
                <w:bCs/>
                <w:color w:val="1A5C38"/>
                <w:sz w:val="20"/>
                <w:szCs w:val="20"/>
              </w:rPr>
              <w:t xml:space="preserve">Appendix F</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Penetration Testing Report Summary — April 2026, CERT-In empanelled vendor</w:t>
            </w:r>
          </w:p>
        </w:tc>
      </w:tr>
      <w:tr>
        <w:tc>
          <w:tcPr>
            <w:tcW w:type="dxa" w:w="1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b/>
                <w:bCs/>
                <w:color w:val="1A5C38"/>
                <w:sz w:val="20"/>
                <w:szCs w:val="20"/>
              </w:rPr>
              <w:t xml:space="preserve">Appendix G</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Risk Register — 8 identified risks with likelihood, impact, and mitigation plans</w:t>
            </w:r>
          </w:p>
        </w:tc>
      </w:tr>
      <w:tr>
        <w:tc>
          <w:tcPr>
            <w:tcW w:type="dxa" w:w="1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b/>
                <w:bCs/>
                <w:color w:val="1A5C38"/>
                <w:sz w:val="20"/>
                <w:szCs w:val="20"/>
              </w:rPr>
              <w:t xml:space="preserve">Appendix H</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CVs — PM, Solution Architect, AI/ML Lead, Backend Lead, Security Lead</w:t>
            </w:r>
          </w:p>
        </w:tc>
      </w:tr>
    </w:tbl>
    <w:p>
      <w:pPr>
        <w:pBdr>
          <w:bottom w:val="single" w:color="1A5C38" w:sz="6" w:space="1"/>
        </w:pBdr>
        <w:spacing w:after="120" w:before="120"/>
      </w:pPr>
    </w:p>
    <w:p>
      <w:pPr>
        <w:spacing w:after="120" w:before="360"/>
        <w:jc w:val="center"/>
      </w:pPr>
      <w:r>
        <w:rPr>
          <w:rFonts w:ascii="Arial" w:cs="Arial" w:eastAsia="Arial" w:hAnsi="Arial"/>
          <w:b/>
          <w:bCs/>
          <w:color w:val="777777"/>
          <w:sz w:val="22"/>
          <w:szCs w:val="22"/>
        </w:rPr>
        <w:t xml:space="preserve">— END OF VENDOR BID DOCUMENT —</w:t>
      </w:r>
    </w:p>
    <w:p>
      <w:pPr>
        <w:jc w:val="center"/>
      </w:pPr>
      <w:r>
        <w:rPr>
          <w:rFonts w:ascii="Arial" w:cs="Arial" w:eastAsia="Arial" w:hAnsi="Arial"/>
          <w:color w:val="999999"/>
          <w:sz w:val="18"/>
          <w:szCs w:val="18"/>
        </w:rPr>
        <w:t xml:space="preserve">InfraSoft Solutions Pvt. Ltd.  |  BID-InfraSoft-2026-001  |  July 21,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C38" w:sz="4" w:space="4"/>
      </w:pBdr>
      <w:jc w:val="center"/>
    </w:pPr>
    <w:r>
      <w:rPr>
        <w:rFonts w:ascii="Arial" w:cs="Arial" w:eastAsia="Arial" w:hAnsi="Arial"/>
        <w:color w:val="777777"/>
        <w:sz w:val="18"/>
        <w:szCs w:val="18"/>
      </w:rPr>
      <w:t xml:space="preserve">CONFIDENTIAL  |  InfraSoft Solutions Pvt. Ltd.  |  Page </w:t>
    </w:r>
    <w:r>
      <w:rPr>
        <w:rFonts w:ascii="Arial" w:cs="Arial" w:eastAsia="Arial" w:hAnsi="Arial"/>
        <w:color w:val="777777"/>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C38" w:sz="6" w:space="4"/>
      </w:pBdr>
      <w:jc w:val="right"/>
    </w:pPr>
    <w:r>
      <w:rPr>
        <w:rFonts w:ascii="Arial" w:cs="Arial" w:eastAsia="Arial" w:hAnsi="Arial"/>
        <w:color w:val="555555"/>
        <w:sz w:val="18"/>
        <w:szCs w:val="18"/>
      </w:rPr>
      <w:t xml:space="preserve">BID-InfraSoft-2026-001  |  Response to RFP-2026-AIDMS-001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C38"/>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775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2026-06-11T10:41:36.406Z</dcterms:created>
  <dcterms:modified xsi:type="dcterms:W3CDTF">2026-06-11T10:41:36.423Z</dcterms:modified>
</cp:coreProperties>
</file>

<file path=docProps/custom.xml><?xml version="1.0" encoding="utf-8"?>
<Properties xmlns="http://schemas.openxmlformats.org/officeDocument/2006/custom-properties" xmlns:vt="http://schemas.openxmlformats.org/officeDocument/2006/docPropsVTypes"/>
</file>