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A5C38"/>
          <w:sz w:val="48"/>
          <w:szCs w:val="48"/>
        </w:rPr>
        <w:t xml:space="preserve">VENDOR BID RESPONSE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77548"/>
          <w:sz w:val="26"/>
          <w:szCs w:val="26"/>
        </w:rPr>
        <w:t xml:space="preserve">BID-NexaAI-2026-001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In Response to RFP-2026-AIDMS-001
AI-Powered Document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NexaAI Technologies Pvt. Ltd.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Registered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12th Floor, Cyber Hub, Gurugram, Haryana – 122002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CIN / GSTIN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U72900HR2019PTC075123 / 06AAACN1234K1Z5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Person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Sharma, VP – Enterprise Solutions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priya.sharma@nexaai.in / +91-98765-43210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22,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Bid Validity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from submission date</w:t>
            </w:r>
          </w:p>
        </w:tc>
      </w:tr>
    </w:tbl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NexaAI Technologies Pvt. Ltd. is pleased to submit this comprehensive bid in response to GlobalLogic's RFP-2026-AIDMS-001. We propose DocuNexus — our enterprise-grade AI-Powered Document Management Platform — purpose-built to address GlobalLogic's document management challenges across departments.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over 7 years of experience delivering AI-driven enterprise solutions and 40+ successful DMS deployments, NexaAI is uniquely positioned to deliver a system that reduces document retrieval time by up to 70%, automates compliance enforcement, and integrates seamlessly with GlobalLogic's existing enterprise ecosystem.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Our solution leverages state-of-the-art transformer-based NLP models, a microservices architecture on AWS, and a dedicated ML retraining pipeline — fulfilling all technical requirements outlined in the RFP at a competitive total cost of ownership.</w:t>
      </w:r>
    </w:p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 Company Background &amp; Relevant Experience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77548"/>
          <w:sz w:val="24"/>
          <w:szCs w:val="24"/>
        </w:rPr>
        <w:t xml:space="preserve">2.1 About NexaAI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Founded in 2019 | Headquarters: Gurugram, Haryana | Offices in Bengaluru, Pune, Hyderabad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450+ employees including 180 AI/ML engineers and 60 enterprise architects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27001:2022 and SOC 2 Type II certified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Advanced Tier Partner | Microsoft Solutions Partner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77548"/>
          <w:sz w:val="24"/>
          <w:szCs w:val="24"/>
        </w:rPr>
        <w:t xml:space="preserve">2.2 Relevant Project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PNB – Punjab National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AI-DMS for 12M+ loan docs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 classification accuracy; 60% retrieval time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Tata Consultancy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DMS + compliance DMS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3.2M docs migrated; SOC 2 compliant in 6 months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HDFC Ergo Insurance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&amp; claims DMS with AI OCR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99.1% OCR accuracy on scanned forms</w:t>
            </w:r>
          </w:p>
        </w:tc>
      </w:tr>
    </w:tbl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 Proposed Solution: DocuNexus Platform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77548"/>
          <w:sz w:val="24"/>
          <w:szCs w:val="24"/>
        </w:rPr>
        <w:t xml:space="preserve">3.1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DocuNexus is built on a cloud-native microservices architecture deployed on AWS (EKS + S3 + RDS Aurora + OpenSearch). Each service is independently scalable and fault-tolerant with active-active multi-AZ deployment ensuring 99.95% uptime — exceeding the 99.9% SLA requirement.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77548"/>
          <w:sz w:val="24"/>
          <w:szCs w:val="24"/>
        </w:rPr>
        <w:t xml:space="preserve">3.2 AI/ML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Classification: Fine-tuned BERT model achieving 93.7% accuracy on held-out test corpus (exceeds 90% requirement)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Named Entity Recognition: Custom NER models for business entities — parties, dates, monetary amounts, contract clauses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Search: Dense retrieval using Sentence-BERT embeddings + OpenSearch vector indexing; supports full natural language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Summarization: Abstractive summarization using T5-large for documents up to 200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 Detection: MinHash + LSH for near-duplicate detection with configurable threshold (default 85% similarity)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Retraining Pipeline: Automated weekly retraining triggered by feedback loop; human-in-the-loop labeling via integrated annotation UI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77548"/>
          <w:sz w:val="24"/>
          <w:szCs w:val="24"/>
        </w:rPr>
        <w:t xml:space="preserve">3.3 Integration &amp;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 and GraphQL APIs with OpenAPI 3.0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Pre-built connectors: SAP ERP, Salesforce CRM, Microsoft 365, and SAP SuccessFactors HRMS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SAML 2.0 / OAuth 2.0 SSO with Active Directory and Azure 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Horizontally scalable to 10 million documents with auto-scaling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Multi-language NLP: English, Hindi, and 6 other Indian languages</w:t>
      </w:r>
    </w:p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 Security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AES-256 encryption at rest; TLS 1.3 in transit (exceeds TLS 1.2 requirement)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Access Control with attribute-based policies (ABAC extension)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audit trail with tamper-evident logging (AWS CloudTrail + custom audit 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27001:2022 certified; SOC 2 Type II report available upon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GDPR and IT Act 2000 compliant data governance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Penetration testing conducted quarterly by CERT-In empanelled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RPO of 2 hours and RTO of 1 hour — both exceed RFP requirements</w:t>
      </w:r>
    </w:p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 &amp; Milestones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1: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workshops, AS-IS analysis, finalized BRD &amp; SRS, risk 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2: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architecture, data model, UI wireframes, API contracts, security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3: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Sprint-based delivery (2-week sprints); AI model training, API integrations, RBAC,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4: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21–24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with GlobalLogic teams, penetration testing, performance benchmarking (10,000 concurrent users)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5: 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25–28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Blue-green deployment to production, 3-day hypercare on-site, end-user training (150+ users)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6: Stabilization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29–32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Bug-fix SLA response, performance optimization, documentation handover, go-live sign-off</w:t>
            </w:r>
          </w:p>
        </w:tc>
      </w:tr>
    </w:tbl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 Proposed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Rajan Mehta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PMP + PMI-ACP certified; 12 yrs experience, 20+ enterprise projects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Dr. Ananya Bose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PhD Computer Science; 10 yrs enterprise DMS architecture; AWS Solutions Architect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AI/ML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 Rao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Ex-IISc researcher; 8 yrs NLP/ML; published 12 papers on document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Sunil Tiwari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yrs backend engineering; microservices expert; AWS Certified DevOps 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Meena Nair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CISSP + CISM; led ISO 27001 certification for 3 organizations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Aditya Verma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yrs enterprise UI; React/Angular expert; accessibility-first design</w:t>
            </w:r>
          </w:p>
        </w:tc>
      </w:tr>
    </w:tbl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 Pricing &amp; Total Cost of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(INR)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TCO (INR)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&amp;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₹85,00,000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₹85,00,000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Licensing (Enterprise)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₹24,00,000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₹72,00,000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Training &amp; Customization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₹18,00,000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₹28,00,000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 (estimated)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₹12,00,000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₹36,00,000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Support &amp; Maintenance (L1–L3)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₹15,00,000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₹45,00,000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Change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₹4,00,000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₹1,58,00,000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₹2,70,00,000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prices are exclusive of applicable taxes (GST @18%). Payment terms: 30% on contract signing, 40% at UAT sign-off, 30% at go-live.</w:t>
      </w:r>
    </w:p>
    <w:p>
      <w:pPr>
        <w:pBdr>
          <w:bottom w:val="single" w:color="1A5C3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 Bid Self-Assessment Against RFP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is our honest self-assessment based on the evaluation criteria defined in Section 4 of the RFP (scores out of 10 per criterion):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 Solution &amp; AI Capabilities (30%)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93.7% classification, semantic search, full NLP stack, transformer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Coverage (20%)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core capabilities and all AI/ML requirements addressed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Implementation Approach &amp; Timeline (15%)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80%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RFP phases; sprint-based delivery with risk register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Experience &amp; References (15%)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yrs experience, 40+ DMS projects, 3 strong reference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&amp; Compliance (10%)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27001, SOC 2 Type II, exceeds RPO/RTO, quarterly pen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Cost of Ownership (10%)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8/10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80%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3-yr TCO with detailed breakdown; flexible payment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Weighted Overall Score (estimated)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6"/>
                <w:szCs w:val="26"/>
              </w:rPr>
              <w:t xml:space="preserve">88 / 100  →  88%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Weighted score calculated as sum of (criterion score × criterion weight). This exceeds the 70% threshold.</w:t>
      </w:r>
    </w:p>
    <w:p>
      <w:pPr>
        <w:pBdr>
          <w:bottom w:val="single" w:color="1A5C38" w:sz="6" w:space="1"/>
        </w:pBdr>
        <w:spacing w:after="120" w:before="12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— END OF VENDOR BID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NexaAI Technologies Pvt. Ltd.  |  BID-NexaAI-2026-001  |  July 22,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8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CONFIDENTIAL  |  NexaAI Technologies Pvt. Ltd.  |  Page </w:t>
    </w:r>
    <w:r>
      <w:rPr>
        <w:rFonts w:ascii="Arial" w:cs="Arial" w:eastAsia="Arial" w:hAnsi="Arial"/>
        <w:color w:val="77777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6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BID-NexaAI-2026-001  |  Vendor Response to RFP-2026-AIDMS-001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C3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77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2026-06-11T10:09:12.529Z</dcterms:created>
  <dcterms:modified xsi:type="dcterms:W3CDTF">2026-06-11T10:09:12.529Z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