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BID DOCUMENT</w:t>
      </w:r>
    </w:p>
    <w:p>
      <w:r>
        <w:t>RFP for AI-Powered Citizen Services Platform (CSP)</w:t>
      </w:r>
    </w:p>
    <w:p>
      <w:r>
        <w:t>Rajasthan State e-Governance Authority (RSEGA)</w:t>
      </w:r>
    </w:p>
    <w:p>
      <w:r>
        <w:t>RFP Reference: RSEGA/ICT/AI-CSP/2026/01</w:t>
      </w:r>
    </w:p>
    <w:p/>
    <w:p>
      <w:r>
        <w:t>Submitted by: GovTech Systems Pvt. Ltd.</w:t>
      </w:r>
    </w:p>
    <w:p>
      <w:r>
        <w:t>Date: July 2026</w:t>
      </w:r>
    </w:p>
    <w:p/>
    <w:p>
      <w:pPr>
        <w:pStyle w:val="Heading2"/>
      </w:pPr>
      <w:r>
        <w:t>1. Executive Summary</w:t>
      </w:r>
    </w:p>
    <w:p>
      <w:r>
        <w:t>GovTech Systems Pvt. Ltd. is pleased to submit this Technical Bid in response to the RSEGA RFP for the AI-Powered Citizen Services Platform. GovTech has been delivering enterprise AI and e-Governance solutions since 2013 and is incorporated in India as of April 2013 — over 13 years of continuous operation. We have delivered 9 production AI/ML use cases across government and enterprise clients, including 5 projects specifically for Central and State Government or PSU bodies. Our proposed Cloud Service Provider is NIC Cloud (National Informatics Centre), which is NIC/MeitY empanelled and operates sovereign data centres exclusively within India (Delhi and Pune NIC DCs). We hold CMMI Level 5 and ISO 27001:2022 certifications. Our average annual turnover for FY 2023-24, 2024-25, and 2025-26 is ₹185 Crore. We confirm submission of all mandatory documents including EMD, Integrity Pact, NDA, Power of Attorney, and all Annexures. We are not blacklisted by any government body; a self-declaration is enclosed.</w:t>
      </w:r>
    </w:p>
    <w:p>
      <w:pPr>
        <w:pStyle w:val="Heading2"/>
      </w:pPr>
      <w:r>
        <w:t>2. Company Overview</w:t>
      </w:r>
    </w:p>
    <w:p>
      <w:r>
        <w:t>GovTech Systems Pvt. Ltd. was incorporated in India on 14 April 2013 under the Companies Act (CIN: U72900RJ2013PTC044721). As of the submission date we have been registered for over 13 years, well exceeding the 5-year minimum requirement. The company employs 420+ professionals across offices in Jaipur, Bengaluru, and Delhi. We have no pending litigation that threatens solvency; a litigation-free certificate from our Statutory Auditor is enclosed as Annexure-3.</w:t>
      </w:r>
    </w:p>
    <w:p>
      <w:pPr>
        <w:pStyle w:val="Heading2"/>
      </w:pPr>
      <w:r>
        <w:t>3. Mandatory Eligibility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Mandatory Criterion</w:t>
            </w:r>
          </w:p>
        </w:tc>
        <w:tc>
          <w:tcPr>
            <w:tcW w:type="dxa" w:w="2880"/>
          </w:tcPr>
          <w:p>
            <w:r>
              <w:t>Status</w:t>
            </w:r>
          </w:p>
        </w:tc>
        <w:tc>
          <w:tcPr>
            <w:tcW w:type="dxa" w:w="2880"/>
          </w:tcPr>
          <w:p>
            <w:r>
              <w:t>Evidence / Annexure</w:t>
            </w:r>
          </w:p>
        </w:tc>
      </w:tr>
      <w:tr>
        <w:tc>
          <w:tcPr>
            <w:tcW w:type="dxa" w:w="2880"/>
          </w:tcPr>
          <w:p>
            <w:r>
              <w:t>Registered in India ≥ 5 years</w:t>
            </w:r>
          </w:p>
        </w:tc>
        <w:tc>
          <w:tcPr>
            <w:tcW w:type="dxa" w:w="2880"/>
          </w:tcPr>
          <w:p>
            <w:r>
              <w:t>Compliant — 13+ years</w:t>
            </w:r>
          </w:p>
        </w:tc>
        <w:tc>
          <w:tcPr>
            <w:tcW w:type="dxa" w:w="2880"/>
          </w:tcPr>
          <w:p>
            <w:r>
              <w:t>Certificate of Incorporation (Annexure-1)</w:t>
            </w:r>
          </w:p>
        </w:tc>
      </w:tr>
      <w:tr>
        <w:tc>
          <w:tcPr>
            <w:tcW w:type="dxa" w:w="2880"/>
          </w:tcPr>
          <w:p>
            <w:r>
              <w:t>Not blacklisted by any Govt / PSU</w:t>
            </w:r>
          </w:p>
        </w:tc>
        <w:tc>
          <w:tcPr>
            <w:tcW w:type="dxa" w:w="2880"/>
          </w:tcPr>
          <w:p>
            <w:r>
              <w:t>Compliant</w:t>
            </w:r>
          </w:p>
        </w:tc>
        <w:tc>
          <w:tcPr>
            <w:tcW w:type="dxa" w:w="2880"/>
          </w:tcPr>
          <w:p>
            <w:r>
              <w:t>Self-Declaration (Annexure-2)</w:t>
            </w:r>
          </w:p>
        </w:tc>
      </w:tr>
      <w:tr>
        <w:tc>
          <w:tcPr>
            <w:tcW w:type="dxa" w:w="2880"/>
          </w:tcPr>
          <w:p>
            <w:r>
              <w:t>Proposed CSP is NIC/MeitY empanelled</w:t>
            </w:r>
          </w:p>
        </w:tc>
        <w:tc>
          <w:tcPr>
            <w:tcW w:type="dxa" w:w="2880"/>
          </w:tcPr>
          <w:p>
            <w:r>
              <w:t>Compliant — NIC Cloud</w:t>
            </w:r>
          </w:p>
        </w:tc>
        <w:tc>
          <w:tcPr>
            <w:tcW w:type="dxa" w:w="2880"/>
          </w:tcPr>
          <w:p>
            <w:r>
              <w:t>NIC Empanelment Certificate (Annexure-4)</w:t>
            </w:r>
          </w:p>
        </w:tc>
      </w:tr>
      <w:tr>
        <w:tc>
          <w:tcPr>
            <w:tcW w:type="dxa" w:w="2880"/>
          </w:tcPr>
          <w:p>
            <w:r>
              <w:t>EMD ₹25 Lakh submitted</w:t>
            </w:r>
          </w:p>
        </w:tc>
        <w:tc>
          <w:tcPr>
            <w:tcW w:type="dxa" w:w="2880"/>
          </w:tcPr>
          <w:p>
            <w:r>
              <w:t>Compliant</w:t>
            </w:r>
          </w:p>
        </w:tc>
        <w:tc>
          <w:tcPr>
            <w:tcW w:type="dxa" w:w="2880"/>
          </w:tcPr>
          <w:p>
            <w:r>
              <w:t>DD No. SBI/2026/RSEGA/EMD enclosed</w:t>
            </w:r>
          </w:p>
        </w:tc>
      </w:tr>
      <w:tr>
        <w:tc>
          <w:tcPr>
            <w:tcW w:type="dxa" w:w="2880"/>
          </w:tcPr>
          <w:p>
            <w:r>
              <w:t>Performance Bank Guarantee</w:t>
            </w:r>
          </w:p>
        </w:tc>
        <w:tc>
          <w:tcPr>
            <w:tcW w:type="dxa" w:w="2880"/>
          </w:tcPr>
          <w:p>
            <w:r>
              <w:t>Agreed — to be submitted within 15 days of award</w:t>
            </w:r>
          </w:p>
        </w:tc>
        <w:tc>
          <w:tcPr>
            <w:tcW w:type="dxa" w:w="2880"/>
          </w:tcPr>
          <w:p>
            <w:r>
              <w:t>Undertaking (Annexure-5)</w:t>
            </w:r>
          </w:p>
        </w:tc>
      </w:tr>
    </w:tbl>
    <w:p/>
    <w:p>
      <w:pPr>
        <w:pStyle w:val="Heading2"/>
      </w:pPr>
      <w:r>
        <w:t>4. Category A: Bidder AI Delivery Capability</w:t>
      </w:r>
    </w:p>
    <w:p>
      <w:r>
        <w:t>GovTech addresses each sub-criterion under Category A below with specific evidence. Our self-assessed marks for Category A: 50 out of 50.</w:t>
      </w:r>
    </w:p>
    <w:p>
      <w:pPr>
        <w:pStyle w:val="Heading3"/>
      </w:pPr>
      <w:r>
        <w:t>4.1 Sub-Criterion 1.a: Production AI/ML Deployments — Maximum 20 Marks</w:t>
      </w:r>
    </w:p>
    <w:p>
      <w:r>
        <w:t>RFP Scoring Tier: 8 or more production AI/ML use cases = 20 marks; 5-7 = 14 marks; 3-4 = 8 marks.</w:t>
      </w:r>
    </w:p>
    <w:p>
      <w:r>
        <w:t>GovTech has deployed 9 production AI/ML use cases for clients, all actively serving end-users in production environments (not POCs or prototypes). The 9 deployments include: (1) Grievance Auto-Routing Engine for Rajasthan Urban Development Authority — 4,200 daily active citizens; (2) NLP-driven Query Resolution Bot for NSDL (Central Govt PSU) — 12,000 registered users; (3) Predictive Maintenance AI for Rajasthan DISCOMS power grid — deployed across 9 districts; (4) Document OCR &amp; Classification System for Rajasthan Revenue Department — processing 8,000 documents per day; (5) AI Fraud Detection for Rajasthan Cooperative Bank — 1,100 concurrent staff users; (6) Smart Traffic Analytics for Jaipur Smart City — real-time video AI on 220 camera feeds; (7) Chatbot for State Insurance &amp; Provident Fund (SIPF) employee services — 18,500 registered users; (8) Land Record Verification AI for e-Dharti portal (Ministry of Rural Development) — 2.1 million records processed; (9) Crop Advisory AI for Rajasthan Agriculture Department — 95,000 farmer registrations. All 9 are in production with verifiable client certificates.</w:t>
      </w:r>
    </w:p>
    <w:p>
      <w:r>
        <w:t>SELF-ASSESSED MARKS: 20 out of 20 (9 production deployments — highest tier: 8 or more).</w:t>
      </w:r>
    </w:p>
    <w:p>
      <w:pPr>
        <w:pStyle w:val="Heading3"/>
      </w:pPr>
      <w:r>
        <w:t>4.2 Sub-Criterion 1.b: Government / Public-Sector AI Experience — Maximum 15 Marks</w:t>
      </w:r>
    </w:p>
    <w:p>
      <w:r>
        <w:t>RFP Scoring Tier: 5 or more government/PSU AI projects = 15 marks; 3-4 = 10 marks; 1-2 = 5 marks.</w:t>
      </w:r>
    </w:p>
    <w:p>
      <w:r>
        <w:t>Of the 9 production deployments listed above, the following 5 are specifically for Central/State Government or PSU clients: Project 1 (Rajasthan Urban Development Authority — State Govt), Project 2 (NSDL — Central Govt PSU), Project 4 (Rajasthan Revenue Department — State Govt), Project 8 (Ministry of Rural Development — Central Govt), Project 9 (Rajasthan Agriculture Department — State Govt). Each project has a government-issued completion certificate available for verification.</w:t>
      </w:r>
    </w:p>
    <w:p>
      <w:r>
        <w:t>SELF-ASSESSED MARKS: 15 out of 15 (5 government/PSU AI projects — highest tier).</w:t>
      </w:r>
    </w:p>
    <w:p>
      <w:pPr>
        <w:pStyle w:val="Heading3"/>
      </w:pPr>
      <w:r>
        <w:t>4.3 Sub-Criterion 2.a: e-Governance Domain Team Expertise — Maximum 15 Marks</w:t>
      </w:r>
    </w:p>
    <w:p>
      <w:r>
        <w:t>RFP Scoring Tier: 12 or more team members with 3+ years e-Governance IT experience = 15 marks; 8-11 = 10 marks; 4-7 = 5 marks.</w:t>
      </w:r>
    </w:p>
    <w:p>
      <w:r>
        <w:t>GovTech will deploy a 20-member project team for this engagement. Of these, 14 members have 3 or more years of verified e-Governance IT project experience including work on NIC-hosted systems, State Data Centre integrations, UMANG platform interfaces, DigiLocker API implementations, and eDistrict deployments. CVs and government client references are provided in Annexure-8. All 14 qualifying team members are currently on GovTech payroll and available from Day 1 of the project.</w:t>
      </w:r>
    </w:p>
    <w:p>
      <w:r>
        <w:t>SELF-ASSESSED MARKS: 15 out of 15 (14 qualifying members — highest tier: 12 or more).</w:t>
      </w:r>
    </w:p>
    <w:p>
      <w:pPr>
        <w:pStyle w:val="Heading2"/>
      </w:pPr>
      <w:r>
        <w:t>5. Category B: Cloud Platform and Compliance</w:t>
      </w:r>
    </w:p>
    <w:p>
      <w:r>
        <w:t>GovTech's self-assessed marks for Category B: 30 out of 30.</w:t>
      </w:r>
    </w:p>
    <w:p>
      <w:pPr>
        <w:pStyle w:val="Heading3"/>
      </w:pPr>
      <w:r>
        <w:t>5.1 Sub-Criterion 3.a: NIC/MeitY Empanelled Cloud Provider — Maximum 15 Marks</w:t>
      </w:r>
    </w:p>
    <w:p>
      <w:r>
        <w:t>RFP Scoring Tier: NIC/MeitY empanelled CSP with India sovereign data centres = 15 marks; MeitY empanelled without India-sovereign DC = 8 marks.</w:t>
      </w:r>
    </w:p>
    <w:p>
      <w:r>
        <w:t>GovTech proposes NIC Cloud (National Informatics Centre Cloud Services) as the Cloud Service Provider for this engagement. NIC Cloud is NIC empanelled and MeitY approved. Data centres are located at NIC Delhi and NIC Pune — both physically within India and subject to Indian law. MeitY empanelment certificate reference: NIC-MeITY-2024-CLOUD-0078. All data residency, sovereignty, and RBI data localisation requirements are fully met. The NIC Cloud empanelment certificate is enclosed as Annexure-4.</w:t>
      </w:r>
    </w:p>
    <w:p>
      <w:r>
        <w:t>SELF-ASSESSED MARKS: 15 out of 15 (NIC Cloud — highest tier: NIC/MeitY empanelled with India sovereign DC).</w:t>
      </w:r>
    </w:p>
    <w:p>
      <w:pPr>
        <w:pStyle w:val="Heading3"/>
      </w:pPr>
      <w:r>
        <w:t>5.2 Sub-Criterion 3.b: Compliance and Security Certifications — Maximum 15 Marks</w:t>
      </w:r>
    </w:p>
    <w:p>
      <w:r>
        <w:t>RFP Scoring Tier: CMMI Level 5 + ISO 27001 + STQC = 15 marks; CMMI 3 + ISO 27001 = 9 marks; ISO 27001 only = 5 marks.</w:t>
      </w:r>
    </w:p>
    <w:p>
      <w:r>
        <w:t>GovTech holds the following active certifications: CMMI Level 5 (v2.0) — awarded by KPMG, valid through March 2027 (Certificate No. CMMI-L5-GTS-2025); ISO 27001:2022 — awarded by BSI Group, valid through August 2027 (Certificate No. IS 765432); STQC Software Testing Certification — STQC Certificate No. STQC/RJ/2025/AI-018. All three certificates are enclosed in Annexure-6.</w:t>
      </w:r>
    </w:p>
    <w:p>
      <w:r>
        <w:t>SELF-ASSESSED MARKS: 15 out of 15 (CMMI L5 + ISO 27001 + STQC — highest tier).</w:t>
      </w:r>
    </w:p>
    <w:p>
      <w:pPr>
        <w:pStyle w:val="Heading2"/>
      </w:pPr>
      <w:r>
        <w:t>6. Category C: Technical Presentation and Live Demonstration</w:t>
      </w:r>
    </w:p>
    <w:p>
      <w:r>
        <w:t>GovTech confirms full participation in the Technical Presentation and Live Demonstration stage. Our self-assessed marks for Category C: 20 out of 20.</w:t>
      </w:r>
    </w:p>
    <w:p>
      <w:pPr>
        <w:pStyle w:val="Heading3"/>
      </w:pPr>
      <w:r>
        <w:t>6.1 Sub-Criterion 4.a: Technical Presentation — Maximum 10 Marks</w:t>
      </w:r>
    </w:p>
    <w:p>
      <w:r>
        <w:t>GovTech will deliver a comprehensive technical presentation covering: (a) Solution Architecture — microservices-based AI platform on NIC Cloud with separate inference, storage, and API gateway layers; (b) AI Model Governance — model versioning, bias monitoring, explainability reports aligned to MeitY AI Ethics Guidelines; (c) Data Privacy Design — field-level encryption, PII masking, DPDP Act compliance; (d) Integration Blueprint — REST API connectors to existing Rajasthan government systems (JanSunwai, SSO Rajasthan, Bhamashah); (e) Implementation Roadmap — phased delivery in 12 months with monthly milestones. Presentation deck is provided as Annexure-9.</w:t>
      </w:r>
    </w:p>
    <w:p>
      <w:r>
        <w:t>SELF-ASSESSED MARKS: 10 out of 10.</w:t>
      </w:r>
    </w:p>
    <w:p>
      <w:pPr>
        <w:pStyle w:val="Heading3"/>
      </w:pPr>
      <w:r>
        <w:t>6.2 Sub-Criterion 4.b: Live Platform Demonstration — Maximum 10 Marks</w:t>
      </w:r>
    </w:p>
    <w:p>
      <w:r>
        <w:t>GovTech will conduct a live (real-time, not pre-recorded) demonstration of our deployed Grievance Auto-Routing Engine currently serving Rajasthan Urban Development Authority. The live demo will showcase: NLP classification of citizen grievance text in real time, automated department routing logic, escalation workflows, and analytics dashboard. We will demonstrate using the production system with prior written permission from RUDA (letter enclosed as Annexure-10). We also have live access to our AI Studio platform on NIC Cloud for a real-time chatbot and OCR pipeline demonstration.</w:t>
      </w:r>
    </w:p>
    <w:p>
      <w:r>
        <w:t>SELF-ASSESSED MARKS: 10 out of 10.</w:t>
      </w:r>
    </w:p>
    <w:p>
      <w:pPr>
        <w:pStyle w:val="Heading2"/>
      </w:pPr>
      <w:r>
        <w:t>7. Summary of Self-Assessed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 / Sub-Criterion</w:t>
            </w:r>
          </w:p>
        </w:tc>
        <w:tc>
          <w:tcPr>
            <w:tcW w:type="dxa" w:w="2160"/>
          </w:tcPr>
          <w:p>
            <w:r>
              <w:t>Max Marks</w:t>
            </w:r>
          </w:p>
        </w:tc>
        <w:tc>
          <w:tcPr>
            <w:tcW w:type="dxa" w:w="2160"/>
          </w:tcPr>
          <w:p>
            <w:r>
              <w:t>Self-Assessed</w:t>
            </w:r>
          </w:p>
        </w:tc>
        <w:tc>
          <w:tcPr>
            <w:tcW w:type="dxa" w:w="2160"/>
          </w:tcPr>
          <w:p>
            <w:r>
              <w:t>Tier</w:t>
            </w:r>
          </w:p>
        </w:tc>
      </w:tr>
      <w:tr>
        <w:tc>
          <w:tcPr>
            <w:tcW w:type="dxa" w:w="2160"/>
          </w:tcPr>
          <w:p>
            <w:r>
              <w:t>Sub-Criterion 1.a: Production AI/ML Deployments</w:t>
            </w:r>
          </w:p>
        </w:tc>
        <w:tc>
          <w:tcPr>
            <w:tcW w:type="dxa" w:w="2160"/>
          </w:tcPr>
          <w:p>
            <w:r>
              <w:t>20</w:t>
            </w:r>
          </w:p>
        </w:tc>
        <w:tc>
          <w:tcPr>
            <w:tcW w:type="dxa" w:w="2160"/>
          </w:tcPr>
          <w:p>
            <w:r>
              <w:t>20</w:t>
            </w:r>
          </w:p>
        </w:tc>
        <w:tc>
          <w:tcPr>
            <w:tcW w:type="dxa" w:w="2160"/>
          </w:tcPr>
          <w:p>
            <w:r>
              <w:t>Highest (9 deployments)</w:t>
            </w:r>
          </w:p>
        </w:tc>
      </w:tr>
      <w:tr>
        <w:tc>
          <w:tcPr>
            <w:tcW w:type="dxa" w:w="2160"/>
          </w:tcPr>
          <w:p>
            <w:r>
              <w:t>Sub-Criterion 1.b: Government/PSU AI Experience</w:t>
            </w:r>
          </w:p>
        </w:tc>
        <w:tc>
          <w:tcPr>
            <w:tcW w:type="dxa" w:w="2160"/>
          </w:tcPr>
          <w:p>
            <w:r>
              <w:t>15</w:t>
            </w:r>
          </w:p>
        </w:tc>
        <w:tc>
          <w:tcPr>
            <w:tcW w:type="dxa" w:w="2160"/>
          </w:tcPr>
          <w:p>
            <w:r>
              <w:t>15</w:t>
            </w:r>
          </w:p>
        </w:tc>
        <w:tc>
          <w:tcPr>
            <w:tcW w:type="dxa" w:w="2160"/>
          </w:tcPr>
          <w:p>
            <w:r>
              <w:t>Highest (5 govt projects)</w:t>
            </w:r>
          </w:p>
        </w:tc>
      </w:tr>
      <w:tr>
        <w:tc>
          <w:tcPr>
            <w:tcW w:type="dxa" w:w="2160"/>
          </w:tcPr>
          <w:p>
            <w:r>
              <w:t>Sub-Criterion 2.a: e-Governance Team Expertise</w:t>
            </w:r>
          </w:p>
        </w:tc>
        <w:tc>
          <w:tcPr>
            <w:tcW w:type="dxa" w:w="2160"/>
          </w:tcPr>
          <w:p>
            <w:r>
              <w:t>15</w:t>
            </w:r>
          </w:p>
        </w:tc>
        <w:tc>
          <w:tcPr>
            <w:tcW w:type="dxa" w:w="2160"/>
          </w:tcPr>
          <w:p>
            <w:r>
              <w:t>15</w:t>
            </w:r>
          </w:p>
        </w:tc>
        <w:tc>
          <w:tcPr>
            <w:tcW w:type="dxa" w:w="2160"/>
          </w:tcPr>
          <w:p>
            <w:r>
              <w:t>Highest (14 members)</w:t>
            </w:r>
          </w:p>
        </w:tc>
      </w:tr>
      <w:tr>
        <w:tc>
          <w:tcPr>
            <w:tcW w:type="dxa" w:w="2160"/>
          </w:tcPr>
          <w:p>
            <w:r>
              <w:t>Category A Total</w:t>
            </w:r>
          </w:p>
        </w:tc>
        <w:tc>
          <w:tcPr>
            <w:tcW w:type="dxa" w:w="2160"/>
          </w:tcPr>
          <w:p>
            <w:r>
              <w:t>50</w:t>
            </w:r>
          </w:p>
        </w:tc>
        <w:tc>
          <w:tcPr>
            <w:tcW w:type="dxa" w:w="2160"/>
          </w:tcPr>
          <w:p>
            <w:r>
              <w:t>50</w:t>
            </w:r>
          </w:p>
        </w:tc>
        <w:tc>
          <w:tcPr>
            <w:tcW w:type="dxa" w:w="2160"/>
          </w:tcPr>
          <w:p>
            <w:r>
              <w:t>100%</w:t>
            </w:r>
          </w:p>
        </w:tc>
      </w:tr>
      <w:tr>
        <w:tc>
          <w:tcPr>
            <w:tcW w:type="dxa" w:w="2160"/>
          </w:tcPr>
          <w:p>
            <w:r>
              <w:t>Sub-Criterion 3.a: NIC/MeitY Empanelled CSP</w:t>
            </w:r>
          </w:p>
        </w:tc>
        <w:tc>
          <w:tcPr>
            <w:tcW w:type="dxa" w:w="2160"/>
          </w:tcPr>
          <w:p>
            <w:r>
              <w:t>15</w:t>
            </w:r>
          </w:p>
        </w:tc>
        <w:tc>
          <w:tcPr>
            <w:tcW w:type="dxa" w:w="2160"/>
          </w:tcPr>
          <w:p>
            <w:r>
              <w:t>15</w:t>
            </w:r>
          </w:p>
        </w:tc>
        <w:tc>
          <w:tcPr>
            <w:tcW w:type="dxa" w:w="2160"/>
          </w:tcPr>
          <w:p>
            <w:r>
              <w:t>Highest (NIC Cloud)</w:t>
            </w:r>
          </w:p>
        </w:tc>
      </w:tr>
      <w:tr>
        <w:tc>
          <w:tcPr>
            <w:tcW w:type="dxa" w:w="2160"/>
          </w:tcPr>
          <w:p>
            <w:r>
              <w:t>Sub-Criterion 3.b: Compliance Certifications</w:t>
            </w:r>
          </w:p>
        </w:tc>
        <w:tc>
          <w:tcPr>
            <w:tcW w:type="dxa" w:w="2160"/>
          </w:tcPr>
          <w:p>
            <w:r>
              <w:t>15</w:t>
            </w:r>
          </w:p>
        </w:tc>
        <w:tc>
          <w:tcPr>
            <w:tcW w:type="dxa" w:w="2160"/>
          </w:tcPr>
          <w:p>
            <w:r>
              <w:t>15</w:t>
            </w:r>
          </w:p>
        </w:tc>
        <w:tc>
          <w:tcPr>
            <w:tcW w:type="dxa" w:w="2160"/>
          </w:tcPr>
          <w:p>
            <w:r>
              <w:t>Highest (CMMI5+ISO27001+STQC)</w:t>
            </w:r>
          </w:p>
        </w:tc>
      </w:tr>
      <w:tr>
        <w:tc>
          <w:tcPr>
            <w:tcW w:type="dxa" w:w="2160"/>
          </w:tcPr>
          <w:p>
            <w:r>
              <w:t>Category B Total</w:t>
            </w:r>
          </w:p>
        </w:tc>
        <w:tc>
          <w:tcPr>
            <w:tcW w:type="dxa" w:w="2160"/>
          </w:tcPr>
          <w:p>
            <w:r>
              <w:t>30</w:t>
            </w:r>
          </w:p>
        </w:tc>
        <w:tc>
          <w:tcPr>
            <w:tcW w:type="dxa" w:w="2160"/>
          </w:tcPr>
          <w:p>
            <w:r>
              <w:t>30</w:t>
            </w:r>
          </w:p>
        </w:tc>
        <w:tc>
          <w:tcPr>
            <w:tcW w:type="dxa" w:w="2160"/>
          </w:tcPr>
          <w:p>
            <w:r>
              <w:t>100%</w:t>
            </w:r>
          </w:p>
        </w:tc>
      </w:tr>
      <w:tr>
        <w:tc>
          <w:tcPr>
            <w:tcW w:type="dxa" w:w="2160"/>
          </w:tcPr>
          <w:p>
            <w:r>
              <w:t>Sub-Criterion 4.a: Technical Presentation</w:t>
            </w:r>
          </w:p>
        </w:tc>
        <w:tc>
          <w:tcPr>
            <w:tcW w:type="dxa" w:w="2160"/>
          </w:tcPr>
          <w:p>
            <w:r>
              <w:t>10</w:t>
            </w:r>
          </w:p>
        </w:tc>
        <w:tc>
          <w:tcPr>
            <w:tcW w:type="dxa" w:w="2160"/>
          </w:tcPr>
          <w:p>
            <w:r>
              <w:t>10</w:t>
            </w:r>
          </w:p>
        </w:tc>
        <w:tc>
          <w:tcPr>
            <w:tcW w:type="dxa" w:w="2160"/>
          </w:tcPr>
          <w:p>
            <w:r>
              <w:t>Met</w:t>
            </w:r>
          </w:p>
        </w:tc>
      </w:tr>
      <w:tr>
        <w:tc>
          <w:tcPr>
            <w:tcW w:type="dxa" w:w="2160"/>
          </w:tcPr>
          <w:p>
            <w:r>
              <w:t>Sub-Criterion 4.b: Live Demo</w:t>
            </w:r>
          </w:p>
        </w:tc>
        <w:tc>
          <w:tcPr>
            <w:tcW w:type="dxa" w:w="2160"/>
          </w:tcPr>
          <w:p>
            <w:r>
              <w:t>10</w:t>
            </w:r>
          </w:p>
        </w:tc>
        <w:tc>
          <w:tcPr>
            <w:tcW w:type="dxa" w:w="2160"/>
          </w:tcPr>
          <w:p>
            <w:r>
              <w:t>10</w:t>
            </w:r>
          </w:p>
        </w:tc>
        <w:tc>
          <w:tcPr>
            <w:tcW w:type="dxa" w:w="2160"/>
          </w:tcPr>
          <w:p>
            <w:r>
              <w:t>Met</w:t>
            </w:r>
          </w:p>
        </w:tc>
      </w:tr>
      <w:tr>
        <w:tc>
          <w:tcPr>
            <w:tcW w:type="dxa" w:w="2160"/>
          </w:tcPr>
          <w:p>
            <w:r>
              <w:t>Category C Total</w:t>
            </w:r>
          </w:p>
        </w:tc>
        <w:tc>
          <w:tcPr>
            <w:tcW w:type="dxa" w:w="2160"/>
          </w:tcPr>
          <w:p>
            <w:r>
              <w:t>20</w:t>
            </w:r>
          </w:p>
        </w:tc>
        <w:tc>
          <w:tcPr>
            <w:tcW w:type="dxa" w:w="2160"/>
          </w:tcPr>
          <w:p>
            <w:r>
              <w:t>20</w:t>
            </w:r>
          </w:p>
        </w:tc>
        <w:tc>
          <w:tcPr>
            <w:tcW w:type="dxa" w:w="2160"/>
          </w:tcPr>
          <w:p>
            <w:r>
              <w:t>100%</w:t>
            </w:r>
          </w:p>
        </w:tc>
      </w:tr>
      <w:tr>
        <w:tc>
          <w:tcPr>
            <w:tcW w:type="dxa" w:w="2160"/>
          </w:tcPr>
          <w:p>
            <w:r>
              <w:t>GRAND TOTAL</w:t>
            </w:r>
          </w:p>
        </w:tc>
        <w:tc>
          <w:tcPr>
            <w:tcW w:type="dxa" w:w="2160"/>
          </w:tcPr>
          <w:p>
            <w:r>
              <w:t>100</w:t>
            </w:r>
          </w:p>
        </w:tc>
        <w:tc>
          <w:tcPr>
            <w:tcW w:type="dxa" w:w="2160"/>
          </w:tcPr>
          <w:p>
            <w:r>
              <w:t>100</w:t>
            </w:r>
          </w:p>
        </w:tc>
        <w:tc>
          <w:tcPr>
            <w:tcW w:type="dxa" w:w="216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