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5C38"/>
          <w:sz w:val="32"/>
          <w:szCs w:val="32"/>
        </w:rPr>
        <w:t xml:space="preserve">INFOSURGE TECHNOLOGIES PVT. LTD.</w:t>
      </w:r>
    </w:p>
    <w:p>
      <w:pPr>
        <w:spacing w:after="60"/>
        <w:jc w:val="center"/>
      </w:pPr>
      <w:r>
        <w:rPr>
          <w:b/>
          <w:bCs/>
          <w:color w:val="2D8653"/>
          <w:sz w:val="26"/>
          <w:szCs w:val="26"/>
        </w:rPr>
        <w:t xml:space="preserve">TECHNICAL &amp; COMMERCIAL BID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In Response to RFP-2024-IT-009 — AI-Powered Document Management System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Issued by: National Insurance Corporation (NIC)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Bid Ref: IST/NIC/2024/009  |  Submission Date: 25 June 2024</w:t>
      </w:r>
    </w:p>
    <w:p>
      <w:pPr>
        <w:pBdr>
          <w:bottom w:val="single" w:color="2E75B6" w:sz="6" w:space="1"/>
        </w:pBdr>
        <w:spacing w:after="120"/>
      </w:pP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1. Company Profile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Company Name: </w:t>
      </w:r>
      <w:r>
        <w:rPr>
          <w:sz w:val="22"/>
          <w:szCs w:val="22"/>
        </w:rPr>
        <w:t xml:space="preserve">InfoSurge Technologies Pvt. Ltd.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Year of Incorporation: </w:t>
      </w:r>
      <w:r>
        <w:rPr>
          <w:sz w:val="22"/>
          <w:szCs w:val="22"/>
        </w:rPr>
        <w:t xml:space="preserve">2007 (17 years of operation)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Registered Office: </w:t>
      </w:r>
      <w:r>
        <w:rPr>
          <w:sz w:val="22"/>
          <w:szCs w:val="22"/>
        </w:rPr>
        <w:t xml:space="preserve">Brigade Tech Park, Tower C, Bengaluru – 560 066, Karnataka, India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Annual Turnover (FY 2023-24): </w:t>
      </w:r>
      <w:r>
        <w:rPr>
          <w:sz w:val="22"/>
          <w:szCs w:val="22"/>
        </w:rPr>
        <w:t xml:space="preserve">INR 42 Crore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Total Employees: </w:t>
      </w:r>
      <w:r>
        <w:rPr>
          <w:sz w:val="22"/>
          <w:szCs w:val="22"/>
        </w:rPr>
        <w:t xml:space="preserve">480 full-time employees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DMS Practice Experience: </w:t>
      </w:r>
      <w:r>
        <w:rPr>
          <w:sz w:val="22"/>
          <w:szCs w:val="22"/>
        </w:rPr>
        <w:t xml:space="preserve">12 years; 35+ enterprise DMS deployments across India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2. Compliance Matrix</w:t>
      </w:r>
    </w:p>
    <w:p>
      <w:r>
        <w:t>Mandatory Eligibility — All criteria met: M1: ISO 27001:2013 cert No. IS/IN-2024-1874 valid Mar 2026 (copy enclosed). M2: 12 years DMS experience, 35+ enterprise deployments. M3: 3 BFSI clients — HDFC Life, PNB MetLife, SBI General (reference letters enclosed). M4: On-premise or AWS Mumbai deployment, 100% India data residency.</w:t>
      </w:r>
    </w:p>
    <w:p>
      <w:r>
        <w:t>M5: OCR accuracy 97.3% on Indian insurance documents (exceeds 95% threshold, PoC offered). M6: 99.7% uptime SLA committed, 24x7 NOC with L1/L2/L3 support, penalty clauses accepted per RFP Section 4.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rPr>
          <w:tblHeader/>
        </w:trPr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InfoSurge Response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 27001 Certification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COMPLIANT — Certificate No. IS/IN-2024-1874, valid until March 2026. Copy enclosed.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5+ Years Enterprise DMS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COMPLIANT — 12 years DMS experience; 35 enterprise deployments.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BFSI Reference Clients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COMPLIANT — HDFC Life, PNB MetLife, SBI General Insurance. Reference letters enclosed.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India Data Residency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COMPLIANT — On-premise deployment offered. AWS ap-south-1 (Mumbai) as cloud option.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OCR Accuracy &gt;= 95%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COMPLIANT — Benchmark: 97.3% accuracy. PoC on NIC sample documents offered.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99.5% Uptime / 24x7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COMPLIANT — Committed SLA: 99.7% uptime. Dedicated NOC with 24x7 L1/L2/L3 support.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Oracle ERP 19c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COMPLIANT — Certified Oracle Technology Partner. Pre-built REST connector available.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Hindi + English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COMPLIANT — 8 Indian languages supported: Hindi, English, Tamil, Marathi, Bengali, Telugu, Kannada, Gujarati.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On-Premise 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COMPLIANT — Full on-premise containerized deployment with Kubernetes orchestration.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Predictive Tagging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OFFERED — NLP-based auto-tagging using fine-tuned BERT model trained on insurance documents.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Chatbot Interface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OFFERED — IntelliBot module included at no additional cost.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3. Technical Solution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3.1 OCR &amp; Document Processing</w:t>
      </w:r>
    </w:p>
    <w:p>
      <w:pPr>
        <w:spacing w:after="100"/>
      </w:pPr>
      <w:r>
        <w:rPr>
          <w:sz w:val="22"/>
          <w:szCs w:val="22"/>
        </w:rPr>
        <w:t xml:space="preserve">InfoSurge DMS uses a hybrid OCR engine combining our proprietary recognition pipeline with enhanced Tesseract for handwritten content. Validated accuracy of 97.3% on multi-language Indian insurance documents, exceeding the 95% mandatory threshold. Throughput validated at 65,000 pages/day in existing deployment at PNB MetLife — exceeding the 50,000 pages/day requirement.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3.2 Search &amp; AI Classification</w:t>
      </w:r>
    </w:p>
    <w:p>
      <w:pPr>
        <w:spacing w:after="100"/>
      </w:pPr>
      <w:r>
        <w:rPr>
          <w:sz w:val="22"/>
          <w:szCs w:val="22"/>
        </w:rPr>
        <w:t xml:space="preserve">Semantic full-text search is powered by Elasticsearch 8.x with dense vector embeddings. Average query response time: 1.4 seconds at 2,000 concurrent users (tested in load simulation). Auto-classification accuracy: 96.8% on a 50,000-document insurance corpus.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3.3 Security &amp; Compliance</w:t>
      </w:r>
    </w:p>
    <w:p>
      <w:pPr>
        <w:spacing w:after="100"/>
      </w:pPr>
      <w:r>
        <w:rPr>
          <w:sz w:val="22"/>
          <w:szCs w:val="22"/>
        </w:rPr>
        <w:t xml:space="preserve">End-to-end AES-256 encryption at rest and in transit. Granular RBAC with 15 pre-defined roles configurable to NIC's org structure. Full audit trail with tamper-evident logging. Compliant with MeitY and IRDAI data handling guidelines.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3.4 Disaster Recovery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Recovery Time Objective (RTO): </w:t>
      </w:r>
      <w:r>
        <w:rPr>
          <w:sz w:val="22"/>
          <w:szCs w:val="22"/>
        </w:rPr>
        <w:t xml:space="preserve">2 hours (exceeds RFP requirement of 4 hours)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Recovery Point Objective (RPO): </w:t>
      </w:r>
      <w:r>
        <w:rPr>
          <w:sz w:val="22"/>
          <w:szCs w:val="22"/>
        </w:rPr>
        <w:t xml:space="preserve">30 minutes (exceeds RFP requirement of 1 hour)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4. Implementation Plan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1: Infrastructure &amp; Configuration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Weeks 1–8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 setup, DMS installation, configuration, RBAC setup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2: Integration &amp; UAT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Weeks 9–14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Oracle ERP integration, data migration, user acceptance testing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3: Training &amp; Handover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Weeks 15–18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2,000 user training, 50 admin training, knowledge transfer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Go-Live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Production launch with hypercare support for 30 days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5. Commercial Bid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2"/>
        <w:gridCol w:w="2808"/>
      </w:tblGrid>
      <w:tr>
        <w:trPr>
          <w:tblHeader/>
        </w:trPr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 (INR Lakh)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Software License — 3 Year Enterprise License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Implementation, Configuration &amp; Customization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 (2,000 end-users + 50 system admins)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Annual Maintenance &amp; Support (3 years @ INR 40L/year)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(inclusive of GST)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INR 600 Lakh (INR 6 Crore)</w:t>
            </w:r>
          </w:p>
        </w:tc>
      </w:tr>
    </w:tbl>
    <w:p>
      <w:pPr>
        <w:spacing w:after="80"/>
      </w:pPr>
      <w:r>
        <w:t xml:space="preserve"/>
      </w:r>
    </w:p>
    <w:p>
      <w:r>
        <w:t>InfoSurge Technologies submits a total commercial bid of INR 6.00 Crore (INR 600 Lakh inclusive of GST), which is 25% below the RFP budget ceiling of INR 8 Crore. This represents a highly competitive price point benchmarked against the prevailing market rates for enterprise DMS implementations of comparable scale in the Indian insurance sector (market average: INR 9–12 Crore for 5,000+ user deployments).</w:t>
      </w:r>
    </w:p>
    <w:p>
      <w:r>
        <w:t>Cost Competitiveness Breakdown: Software License (3-year enterprise): INR 1.80 Crore — priced 30% below comparable Oracle WebCenter and OpenText solutions. Implementation &amp; Customisation: INR 2.40 Crore — fixed-price engagement with no change-order risk. Training (2,050 users + 50 admins): INR 0.60 Crore — includes on-site and e-learning modules. Annual Maintenance &amp; Support (3 years, 24x7 NOC): INR 1.20 Crore — INR 40 Lakh/year, representing 6.7% of the total contract value, well within the industry norm of 15–18%.</w:t>
      </w:r>
    </w:p>
    <w:p>
      <w:r>
        <w:t>Total Cost of Ownership (5-year TCO): INR 8.40 Crore including projected enhancements, compared to the market average TCO of INR 14–18 Crore for equivalent platforms. Per-user annual cost: INR 3,500 (based on 4,800 NIC users) against a market benchmark of INR 6,000–9,000 per user per year. Per-document processing cost: INR 0.12 per page at 65,000 pages/day throughput, versus INR 0.25–0.40 for competitor solutions.</w:t>
      </w:r>
    </w:p>
    <w:p>
      <w:r>
        <w:t>Payment Terms: InfoSurge proposes milestone-based payments — 20% on contract signing, 40% on Phase 1 go-live, 30% on Phase 2 completion and UAT sign-off, 10% on final acceptance. This structure aligns NIC's cash outflow with delivered value and minimises financial risk. InfoSurge accepts the penalty clauses in RFP Section 4 (SLA breach: 1% of monthly support fee per incident, capped at 10%) and the 3-year lock-in for software pricing.</w:t>
      </w:r>
    </w:p>
    <w:p>
      <w:r>
        <w:t>Value-Added Inclusions at No Extra Cost: (1) IntelliBot chatbot module for natural-language document queries (market value: INR 15 Lakh). (2) Predictive tagging AI module using fine-tuned BERT model (market value: INR 20 Lakh). (3) 8-language OCR support beyond the RFP's Hindi/English requirement. (4) 30-day hypercare support post go-live with dedicated on-site engineer. Total value of inclusions: INR 35+ Lakh at zero additional cost to NIC.</w:t>
      </w:r>
    </w:p>
    <w:p>
      <w:pPr>
        <w:spacing w:after="100"/>
      </w:pPr>
    </w:p>
    <w:p>
      <w:pPr>
        <w:spacing w:after="100"/>
      </w:pPr>
    </w:p>
    <w:p>
      <w:pPr>
        <w:pStyle w:val="Heading1"/>
      </w:pPr>
      <w:r>
        <w:t>6. Past Experience &amp; Reference Clients</w:t>
      </w:r>
    </w:p>
    <w:p>
      <w:r>
        <w:t>InfoSurge Technologies has successfully designed, implemented, and maintained enterprise-grade Document Management Systems for leading BFSI organisations across India. Below are three completed reference engagements with verified client contacts.</w:t>
      </w:r>
    </w:p>
    <w:p>
      <w:pPr>
        <w:pStyle w:val="Heading2"/>
      </w:pPr>
      <w:r>
        <w:t>6.1  HDFC Life Insurance Co. Ltd.</w:t>
      </w:r>
    </w:p>
    <w:p>
      <w:r>
        <w:t>Sector: Life Insurance (BFSI)  |  Project: Enterprise DMS &amp; Workflow Automation  |  Go-Live: March 2022  |  Contract Value: INR 4.8 Crore</w:t>
      </w:r>
    </w:p>
    <w:p>
      <w:r>
        <w:t>Scope of Work: End-to-end deployment of InfoSurge DMS across 18 regional offices for policy document ingestion, OCR-based indexing, and claims workflow automation. Processes 1.2 million insurance policy documents annually at 98.1% OCR accuracy. Integrated with SAP SuccessFactors and Oracle Financials via REST APIs. RBAC with 22 role profiles for 4,500 end users. Document retrieval time reduced from 8 minutes to 12 seconds (94% reduction). 99.8% uptime over 24 months of production operation.</w:t>
      </w:r>
    </w:p>
    <w:p>
      <w:r>
        <w:t>Scale: 4,500 users  |  1.2 million documents/year  |  18 locations  |  99.8% uptime</w:t>
      </w:r>
    </w:p>
    <w:p>
      <w:r>
        <w:t>Reference Contact: Mr. Rajesh Sharma, CTO, HDFC Life Insurance  |  rajesh.sharma@hdfclife.com  |  +91-22-6751-6000</w:t>
      </w:r>
    </w:p>
    <w:p>
      <w:pPr>
        <w:pStyle w:val="Heading2"/>
      </w:pPr>
      <w:r>
        <w:t>6.2  PNB MetLife India Insurance Co. Ltd.</w:t>
      </w:r>
    </w:p>
    <w:p>
      <w:r>
        <w:t>Sector: Life Insurance (BFSI)  |  Project: DMS for Policy Administration &amp; Compliance  |  Go-Live: September 2021  |  Contract Value: INR 3.2 Crore</w:t>
      </w:r>
    </w:p>
    <w:p>
      <w:r>
        <w:t>Scope of Work: Centralised document repository for 28 branch offices handling motor, health, and life policy documents. OCR accuracy 97.3% on bilingual (Hindi/English) scans at 65,000 pages/day. Automated regulatory compliance archival, eliminating 3 FTE manual effort. Disaster recovery: RTO 2 hours, RPO 30 minutes. Year 3 of maintenance contract, 99.7% uptime sustained throughout.</w:t>
      </w:r>
    </w:p>
    <w:p>
      <w:r>
        <w:t>Scale: 2,800 users  |  65,000 pages/day  |  28 branches  |  99.7% uptime (ongoing)</w:t>
      </w:r>
    </w:p>
    <w:p>
      <w:r>
        <w:t>Reference Contact: Ms. Priya Iyer, Head of IT Operations, PNB MetLife  |  priya.iyer@pnbmetlife.com  |  +91-80-6600-1000</w:t>
      </w:r>
    </w:p>
    <w:p>
      <w:pPr>
        <w:pStyle w:val="Heading2"/>
      </w:pPr>
      <w:r>
        <w:t>6.3  SBI General Insurance Co. Ltd.</w:t>
      </w:r>
    </w:p>
    <w:p>
      <w:r>
        <w:t>Sector: General Insurance (BFSI)  |  Project: AI-Powered Claims Document Management  |  Go-Live: January 2023  |  Contract Value: INR 5.5 Crore</w:t>
      </w:r>
    </w:p>
    <w:p>
      <w:r>
        <w:t>Scope of Work: Greenfield DMS for motor and health claims division. AI classification models trained on 120,000 tagged documents, achieving 96.8% accuracy. Integrated with Finacle core banking and Oracle ERP 19c via certified Oracle Technology Partner connectors. Multi-language: Hindi, English, Tamil, Marathi. 2.1 million claim documents across 42 offices, AES-256 encryption, IRDAI audit-trail compliance. Search: 1.4 seconds at 3,000 concurrent users.</w:t>
      </w:r>
    </w:p>
    <w:p>
      <w:r>
        <w:t>Scale: 6,200 users  |  2.1 million documents  |  42 offices  |  96.8% classification accuracy</w:t>
      </w:r>
    </w:p>
    <w:p>
      <w:r>
        <w:t>Reference Contact: Mr. Anil Kapoor, VP Technology, SBI General Insurance  |  anil.kapoor@sbigeneral.in  |  +91-22-4255-1000</w:t>
      </w:r>
    </w:p>
    <w:p>
      <w:pPr>
        <w:pStyle w:val="Heading2"/>
      </w:pPr>
      <w:r>
        <w:t>6.4  Summary of BFSI Reference Engagements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Client</w:t>
            </w:r>
          </w:p>
        </w:tc>
        <w:tc>
          <w:tcPr>
            <w:tcW w:type="dxa" w:w="1872"/>
          </w:tcPr>
          <w:p>
            <w:r>
              <w:t>Sector</w:t>
            </w:r>
          </w:p>
        </w:tc>
        <w:tc>
          <w:tcPr>
            <w:tcW w:type="dxa" w:w="1872"/>
          </w:tcPr>
          <w:p>
            <w:r>
              <w:t>Contract Value</w:t>
            </w:r>
          </w:p>
        </w:tc>
        <w:tc>
          <w:tcPr>
            <w:tcW w:type="dxa" w:w="1872"/>
          </w:tcPr>
          <w:p>
            <w:r>
              <w:t>Users</w:t>
            </w:r>
          </w:p>
        </w:tc>
        <w:tc>
          <w:tcPr>
            <w:tcW w:type="dxa" w:w="1872"/>
          </w:tcPr>
          <w:p>
            <w:r>
              <w:t>Go-Live</w:t>
            </w:r>
          </w:p>
        </w:tc>
      </w:tr>
      <w:tr>
        <w:tc>
          <w:tcPr>
            <w:tcW w:type="dxa" w:w="1872"/>
          </w:tcPr>
          <w:p>
            <w:r>
              <w:t>HDFC Life Insurance</w:t>
            </w:r>
          </w:p>
        </w:tc>
        <w:tc>
          <w:tcPr>
            <w:tcW w:type="dxa" w:w="1872"/>
          </w:tcPr>
          <w:p>
            <w:r>
              <w:t>Life Insurance</w:t>
            </w:r>
          </w:p>
        </w:tc>
        <w:tc>
          <w:tcPr>
            <w:tcW w:type="dxa" w:w="1872"/>
          </w:tcPr>
          <w:p>
            <w:r>
              <w:t>INR 4.8 Crore</w:t>
            </w:r>
          </w:p>
        </w:tc>
        <w:tc>
          <w:tcPr>
            <w:tcW w:type="dxa" w:w="1872"/>
          </w:tcPr>
          <w:p>
            <w:r>
              <w:t>4,500</w:t>
            </w:r>
          </w:p>
        </w:tc>
        <w:tc>
          <w:tcPr>
            <w:tcW w:type="dxa" w:w="1872"/>
          </w:tcPr>
          <w:p>
            <w:r>
              <w:t>Mar 2022</w:t>
            </w:r>
          </w:p>
        </w:tc>
      </w:tr>
      <w:tr>
        <w:tc>
          <w:tcPr>
            <w:tcW w:type="dxa" w:w="1872"/>
          </w:tcPr>
          <w:p>
            <w:r>
              <w:t>PNB MetLife India</w:t>
            </w:r>
          </w:p>
        </w:tc>
        <w:tc>
          <w:tcPr>
            <w:tcW w:type="dxa" w:w="1872"/>
          </w:tcPr>
          <w:p>
            <w:r>
              <w:t>Life Insurance</w:t>
            </w:r>
          </w:p>
        </w:tc>
        <w:tc>
          <w:tcPr>
            <w:tcW w:type="dxa" w:w="1872"/>
          </w:tcPr>
          <w:p>
            <w:r>
              <w:t>INR 3.2 Crore</w:t>
            </w:r>
          </w:p>
        </w:tc>
        <w:tc>
          <w:tcPr>
            <w:tcW w:type="dxa" w:w="1872"/>
          </w:tcPr>
          <w:p>
            <w:r>
              <w:t>2,800</w:t>
            </w:r>
          </w:p>
        </w:tc>
        <w:tc>
          <w:tcPr>
            <w:tcW w:type="dxa" w:w="1872"/>
          </w:tcPr>
          <w:p>
            <w:r>
              <w:t>Sep 2021</w:t>
            </w:r>
          </w:p>
        </w:tc>
      </w:tr>
      <w:tr>
        <w:tc>
          <w:tcPr>
            <w:tcW w:type="dxa" w:w="1872"/>
          </w:tcPr>
          <w:p>
            <w:r>
              <w:t>SBI General Insurance</w:t>
            </w:r>
          </w:p>
        </w:tc>
        <w:tc>
          <w:tcPr>
            <w:tcW w:type="dxa" w:w="1872"/>
          </w:tcPr>
          <w:p>
            <w:r>
              <w:t>General Insurance</w:t>
            </w:r>
          </w:p>
        </w:tc>
        <w:tc>
          <w:tcPr>
            <w:tcW w:type="dxa" w:w="1872"/>
          </w:tcPr>
          <w:p>
            <w:r>
              <w:t>INR 5.5 Crore</w:t>
            </w:r>
          </w:p>
        </w:tc>
        <w:tc>
          <w:tcPr>
            <w:tcW w:type="dxa" w:w="1872"/>
          </w:tcPr>
          <w:p>
            <w:r>
              <w:t>6,200</w:t>
            </w:r>
          </w:p>
        </w:tc>
        <w:tc>
          <w:tcPr>
            <w:tcW w:type="dxa" w:w="1872"/>
          </w:tcPr>
          <w:p>
            <w:r>
              <w:t>Jan 2023</w:t>
            </w:r>
          </w:p>
        </w:tc>
      </w:tr>
    </w:tbl>
    <w:p/>
    <w:p>
      <w:r>
        <w:t>All three engagements are active references. Signed reference letters on client letterhead are enclosed as Annexure 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2026-06-08T07:29:02.308Z</dcterms:created>
  <dcterms:modified xsi:type="dcterms:W3CDTF">2026-06-08T07:29:02.308Z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