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RAJASTHAN STATE e-GOVERNANCE AUTHORITY (RSEGA)</w:t>
      </w:r>
    </w:p>
    <w:p>
      <w:pPr>
        <w:pStyle w:val="Heading1"/>
      </w:pPr>
      <w:r>
        <w:t>REQUEST FOR PROPOSAL (RFP)</w:t>
      </w:r>
    </w:p>
    <w:p>
      <w:pPr>
        <w:pStyle w:val="Heading1"/>
      </w:pPr>
      <w:r>
        <w:t>FOR IMPLEMENTATION OF AI-POWERED CITIZEN SERVICES PLATFORM (CSP)</w:t>
      </w:r>
    </w:p>
    <w:p>
      <w:r>
        <w:t>RFP Reference No.: RSEGA/ICT/AI-CSP/2026/01</w:t>
      </w:r>
    </w:p>
    <w:p>
      <w:r>
        <w:t>Date of Issue: 10 June 2026</w:t>
      </w:r>
    </w:p>
    <w:p>
      <w:r>
        <w:t>Last Date for Submission: 10 July 2026</w:t>
      </w:r>
    </w:p>
    <w:p/>
    <w:p>
      <w:pPr>
        <w:pStyle w:val="Heading2"/>
      </w:pPr>
      <w:r>
        <w:t>PART A — INTRODUCTION AND BACKGROUND</w:t>
      </w:r>
    </w:p>
    <w:p>
      <w:r>
        <w:t>The Rajasthan State e-Governance Authority (RSEGA) invites sealed bids from experienced, qualified, and financially sound firms for the Design, Development, and Operationalisation of an AI-Powered Citizen Services Platform (CSP). The platform shall integrate AI/ML-driven natural language processing, automated grievance routing, predictive analytics, and a unified citizen dashboard accessible across web and mobile channels. The successful implementation partner will work closely with RSEGA to deliver production-ready AI use cases that measurably improve citizen satisfaction and service delivery timelines.</w:t>
      </w:r>
    </w:p>
    <w:p>
      <w:pPr>
        <w:pStyle w:val="Heading2"/>
      </w:pPr>
      <w:r>
        <w:t>PART B — ELIGIBILITY / MANDATORY CRITERIA</w:t>
      </w:r>
    </w:p>
    <w:p>
      <w:r>
        <w:t>The following mandatory criteria must be met for a bid to be considered. Failure to satisfy any single mandatory criterion shall result in immediate disqualification of the bid.</w:t>
      </w:r>
    </w:p>
    <w:p>
      <w:pPr>
        <w:pStyle w:val="ListNumber"/>
      </w:pPr>
      <w:r>
        <w:t>1. The bidding organisation must be incorporated and registered in India for a minimum of 5 (five) years as on the date of RFP submission. Bidders incorporated less than 5 years ago are not eligible.</w:t>
      </w:r>
    </w:p>
    <w:p>
      <w:pPr>
        <w:pStyle w:val="ListNumber"/>
      </w:pPr>
      <w:r>
        <w:t>2. The bidder must not be blacklisted or debarred by any Central Government Ministry, State Government, or Public Sector Undertaking (PSU) as on the date of submission. A self-declaration of non-blacklisting must be submitted.</w:t>
      </w:r>
    </w:p>
    <w:p>
      <w:pPr>
        <w:pStyle w:val="ListNumber"/>
      </w:pPr>
      <w:r>
        <w:t>3. The proposed Cloud Service Provider (CSP) must be NIC/MeitY empanelled with at least one sovereign data centre located within India. Bids proposing a non-empanelled CSP will be disqualified.</w:t>
      </w:r>
    </w:p>
    <w:p>
      <w:pPr>
        <w:pStyle w:val="ListNumber"/>
      </w:pPr>
      <w:r>
        <w:t>4. The bidder must submit an Earnest Money Deposit (EMD) of ₹25 Lakh by way of Demand Draft or Bank Guarantee in favour of RSEGA payable at Jaipur.</w:t>
      </w:r>
    </w:p>
    <w:p>
      <w:pPr>
        <w:pStyle w:val="ListNumber"/>
      </w:pPr>
      <w:r>
        <w:t>5. The bidder must submit a Performance Bank Guarantee equivalent to 5% of the total contract value within 15 days of award.</w:t>
      </w:r>
    </w:p>
    <w:p>
      <w:pPr>
        <w:pStyle w:val="Heading2"/>
      </w:pPr>
      <w:r>
        <w:t>PART C — TECHNICAL EVALUATION CRITERIA AND SCORING</w:t>
      </w:r>
    </w:p>
    <w:p>
      <w:r>
        <w:t>The technical bid will be evaluated on the criteria described below. Marks allocated to categories are defined in the tables that follow. The minimum qualifying marks: Bidder must score 70% in each category separately and 70% overall to be declared technically qualified.</w:t>
      </w:r>
    </w:p>
    <w:p>
      <w:r>
        <w:t>Scoring Summary: Total marks = 100. Overall pass threshold = 70 marks (70%). Category minimums: each category has a minimum of 70% in each category separately. Bids that fail to achieve 70% in any single category will be technically disqualified irrespective of the overall score.</w:t>
      </w:r>
    </w:p>
    <w:p>
      <w:pPr>
        <w:pStyle w:val="Heading3"/>
      </w:pPr>
      <w:r>
        <w:t>Category A: Bidder AI Delivery Capability — Maximum Marks: 50 | Weight: 50%</w:t>
      </w:r>
    </w:p>
    <w:p>
      <w:r>
        <w:t>This category assesses the organisation's demonstrated capability to deliver production AI/ML systems at scale. Marks allocated to Category A criteria are detailed below.</w:t>
      </w:r>
    </w:p>
    <w:p>
      <w:pPr>
        <w:pStyle w:val="Heading4"/>
      </w:pPr>
      <w:r>
        <w:t>Criterion 1: AI/ML Use Cases Delivered — 35 Marks</w:t>
      </w:r>
    </w:p>
    <w:p>
      <w:r>
        <w:t>Sub-Criterion 1.a: Production AI/ML Deployments in Organisation — Maximum marks: 20</w:t>
      </w:r>
    </w:p>
    <w:tbl>
      <w:tblPr>
        <w:tblStyle w:val="TableGrid"/>
        <w:tblW w:type="auto" w:w="0"/>
        <w:tblLook w:firstColumn="1" w:firstRow="1" w:lastColumn="0" w:lastRow="0" w:noHBand="0" w:noVBand="1" w:val="04A0"/>
      </w:tblPr>
      <w:tblGrid>
        <w:gridCol w:w="4320"/>
        <w:gridCol w:w="4320"/>
      </w:tblGrid>
      <w:tr>
        <w:tc>
          <w:tcPr>
            <w:tcW w:type="dxa" w:w="4320"/>
          </w:tcPr>
          <w:p>
            <w:r>
              <w:t>Qualifying Condition</w:t>
            </w:r>
          </w:p>
        </w:tc>
        <w:tc>
          <w:tcPr>
            <w:tcW w:type="dxa" w:w="4320"/>
          </w:tcPr>
          <w:p>
            <w:r>
              <w:t>Marks Awarded</w:t>
            </w:r>
          </w:p>
        </w:tc>
      </w:tr>
      <w:tr>
        <w:tc>
          <w:tcPr>
            <w:tcW w:type="dxa" w:w="4320"/>
          </w:tcPr>
          <w:p>
            <w:r>
              <w:t>8 or more production AI/ML use cases deployed (not POCs/prototypes)</w:t>
            </w:r>
          </w:p>
        </w:tc>
        <w:tc>
          <w:tcPr>
            <w:tcW w:type="dxa" w:w="4320"/>
          </w:tcPr>
          <w:p>
            <w:r>
              <w:t>20</w:t>
            </w:r>
          </w:p>
        </w:tc>
      </w:tr>
      <w:tr>
        <w:tc>
          <w:tcPr>
            <w:tcW w:type="dxa" w:w="4320"/>
          </w:tcPr>
          <w:p>
            <w:r>
              <w:t>5 to 7 production AI/ML deployments</w:t>
            </w:r>
          </w:p>
        </w:tc>
        <w:tc>
          <w:tcPr>
            <w:tcW w:type="dxa" w:w="4320"/>
          </w:tcPr>
          <w:p>
            <w:r>
              <w:t>14</w:t>
            </w:r>
          </w:p>
        </w:tc>
      </w:tr>
      <w:tr>
        <w:tc>
          <w:tcPr>
            <w:tcW w:type="dxa" w:w="4320"/>
          </w:tcPr>
          <w:p>
            <w:r>
              <w:t>3 to 4 production AI/ML deployments</w:t>
            </w:r>
          </w:p>
        </w:tc>
        <w:tc>
          <w:tcPr>
            <w:tcW w:type="dxa" w:w="4320"/>
          </w:tcPr>
          <w:p>
            <w:r>
              <w:t>8</w:t>
            </w:r>
          </w:p>
        </w:tc>
      </w:tr>
      <w:tr>
        <w:tc>
          <w:tcPr>
            <w:tcW w:type="dxa" w:w="4320"/>
          </w:tcPr>
          <w:p>
            <w:r>
              <w:t>Fewer than 3 production deployments</w:t>
            </w:r>
          </w:p>
        </w:tc>
        <w:tc>
          <w:tcPr>
            <w:tcW w:type="dxa" w:w="4320"/>
          </w:tcPr>
          <w:p>
            <w:r>
              <w:t>0</w:t>
            </w:r>
          </w:p>
        </w:tc>
      </w:tr>
    </w:tbl>
    <w:p/>
    <w:p>
      <w:r>
        <w:t>Sub-Criterion 1.b: Government / Public-Sector AI Experience — Maximum marks: 15</w:t>
      </w:r>
    </w:p>
    <w:tbl>
      <w:tblPr>
        <w:tblStyle w:val="TableGrid"/>
        <w:tblW w:type="auto" w:w="0"/>
        <w:tblLook w:firstColumn="1" w:firstRow="1" w:lastColumn="0" w:lastRow="0" w:noHBand="0" w:noVBand="1" w:val="04A0"/>
      </w:tblPr>
      <w:tblGrid>
        <w:gridCol w:w="4320"/>
        <w:gridCol w:w="4320"/>
      </w:tblGrid>
      <w:tr>
        <w:tc>
          <w:tcPr>
            <w:tcW w:type="dxa" w:w="4320"/>
          </w:tcPr>
          <w:p>
            <w:r>
              <w:t>Qualifying Condition</w:t>
            </w:r>
          </w:p>
        </w:tc>
        <w:tc>
          <w:tcPr>
            <w:tcW w:type="dxa" w:w="4320"/>
          </w:tcPr>
          <w:p>
            <w:r>
              <w:t>Marks Awarded</w:t>
            </w:r>
          </w:p>
        </w:tc>
      </w:tr>
      <w:tr>
        <w:tc>
          <w:tcPr>
            <w:tcW w:type="dxa" w:w="4320"/>
          </w:tcPr>
          <w:p>
            <w:r>
              <w:t>5 or more production AI projects for Central/State Govt or PSU clients</w:t>
            </w:r>
          </w:p>
        </w:tc>
        <w:tc>
          <w:tcPr>
            <w:tcW w:type="dxa" w:w="4320"/>
          </w:tcPr>
          <w:p>
            <w:r>
              <w:t>15</w:t>
            </w:r>
          </w:p>
        </w:tc>
      </w:tr>
      <w:tr>
        <w:tc>
          <w:tcPr>
            <w:tcW w:type="dxa" w:w="4320"/>
          </w:tcPr>
          <w:p>
            <w:r>
              <w:t>3 to 4 such projects</w:t>
            </w:r>
          </w:p>
        </w:tc>
        <w:tc>
          <w:tcPr>
            <w:tcW w:type="dxa" w:w="4320"/>
          </w:tcPr>
          <w:p>
            <w:r>
              <w:t>10</w:t>
            </w:r>
          </w:p>
        </w:tc>
      </w:tr>
      <w:tr>
        <w:tc>
          <w:tcPr>
            <w:tcW w:type="dxa" w:w="4320"/>
          </w:tcPr>
          <w:p>
            <w:r>
              <w:t>1 to 2 such projects</w:t>
            </w:r>
          </w:p>
        </w:tc>
        <w:tc>
          <w:tcPr>
            <w:tcW w:type="dxa" w:w="4320"/>
          </w:tcPr>
          <w:p>
            <w:r>
              <w:t>5</w:t>
            </w:r>
          </w:p>
        </w:tc>
      </w:tr>
      <w:tr>
        <w:tc>
          <w:tcPr>
            <w:tcW w:type="dxa" w:w="4320"/>
          </w:tcPr>
          <w:p>
            <w:r>
              <w:t>No qualifying government AI projects</w:t>
            </w:r>
          </w:p>
        </w:tc>
        <w:tc>
          <w:tcPr>
            <w:tcW w:type="dxa" w:w="4320"/>
          </w:tcPr>
          <w:p>
            <w:r>
              <w:t>0</w:t>
            </w:r>
          </w:p>
        </w:tc>
      </w:tr>
    </w:tbl>
    <w:p/>
    <w:p>
      <w:pPr>
        <w:pStyle w:val="Heading4"/>
      </w:pPr>
      <w:r>
        <w:t>Criterion 2: Team Expertise and Profile — 15 Marks</w:t>
      </w:r>
    </w:p>
    <w:p>
      <w:r>
        <w:t>Sub-Criterion 2.a: e-Governance Domain Expertise — Maximum marks: 15</w:t>
      </w:r>
    </w:p>
    <w:tbl>
      <w:tblPr>
        <w:tblStyle w:val="TableGrid"/>
        <w:tblW w:type="auto" w:w="0"/>
        <w:tblLook w:firstColumn="1" w:firstRow="1" w:lastColumn="0" w:lastRow="0" w:noHBand="0" w:noVBand="1" w:val="04A0"/>
      </w:tblPr>
      <w:tblGrid>
        <w:gridCol w:w="4320"/>
        <w:gridCol w:w="4320"/>
      </w:tblGrid>
      <w:tr>
        <w:tc>
          <w:tcPr>
            <w:tcW w:type="dxa" w:w="4320"/>
          </w:tcPr>
          <w:p>
            <w:r>
              <w:t>Qualifying Condition</w:t>
            </w:r>
          </w:p>
        </w:tc>
        <w:tc>
          <w:tcPr>
            <w:tcW w:type="dxa" w:w="4320"/>
          </w:tcPr>
          <w:p>
            <w:r>
              <w:t>Marks Awarded</w:t>
            </w:r>
          </w:p>
        </w:tc>
      </w:tr>
      <w:tr>
        <w:tc>
          <w:tcPr>
            <w:tcW w:type="dxa" w:w="4320"/>
          </w:tcPr>
          <w:p>
            <w:r>
              <w:t>12 or more proposed team members with 3+ years e-Governance IT project experience</w:t>
            </w:r>
          </w:p>
        </w:tc>
        <w:tc>
          <w:tcPr>
            <w:tcW w:type="dxa" w:w="4320"/>
          </w:tcPr>
          <w:p>
            <w:r>
              <w:t>15</w:t>
            </w:r>
          </w:p>
        </w:tc>
      </w:tr>
      <w:tr>
        <w:tc>
          <w:tcPr>
            <w:tcW w:type="dxa" w:w="4320"/>
          </w:tcPr>
          <w:p>
            <w:r>
              <w:t>8 to 11 team members meeting the criterion</w:t>
            </w:r>
          </w:p>
        </w:tc>
        <w:tc>
          <w:tcPr>
            <w:tcW w:type="dxa" w:w="4320"/>
          </w:tcPr>
          <w:p>
            <w:r>
              <w:t>10</w:t>
            </w:r>
          </w:p>
        </w:tc>
      </w:tr>
      <w:tr>
        <w:tc>
          <w:tcPr>
            <w:tcW w:type="dxa" w:w="4320"/>
          </w:tcPr>
          <w:p>
            <w:r>
              <w:t>4 to 7 team members meeting the criterion</w:t>
            </w:r>
          </w:p>
        </w:tc>
        <w:tc>
          <w:tcPr>
            <w:tcW w:type="dxa" w:w="4320"/>
          </w:tcPr>
          <w:p>
            <w:r>
              <w:t>5</w:t>
            </w:r>
          </w:p>
        </w:tc>
      </w:tr>
      <w:tr>
        <w:tc>
          <w:tcPr>
            <w:tcW w:type="dxa" w:w="4320"/>
          </w:tcPr>
          <w:p>
            <w:r>
              <w:t>Fewer than 4 team members</w:t>
            </w:r>
          </w:p>
        </w:tc>
        <w:tc>
          <w:tcPr>
            <w:tcW w:type="dxa" w:w="4320"/>
          </w:tcPr>
          <w:p>
            <w:r>
              <w:t>0</w:t>
            </w:r>
          </w:p>
        </w:tc>
      </w:tr>
    </w:tbl>
    <w:p/>
    <w:p>
      <w:pPr>
        <w:pStyle w:val="Heading3"/>
      </w:pPr>
      <w:r>
        <w:t>Category B: Cloud Platform and Compliance — Maximum Marks: 30 | Weight: 30%</w:t>
      </w:r>
    </w:p>
    <w:p>
      <w:r>
        <w:t>This category evaluates the cloud infrastructure proposed, security compliance posture, and financial stability of the bidder.</w:t>
      </w:r>
    </w:p>
    <w:p>
      <w:pPr>
        <w:pStyle w:val="Heading4"/>
      </w:pPr>
      <w:r>
        <w:t>Criterion 3: Cloud Infrastructure and Security — 20 Marks</w:t>
      </w:r>
    </w:p>
    <w:p>
      <w:r>
        <w:t>Sub-Criterion 3.a: NIC/MeitY Empanelled Cloud Service Provider — Maximum marks: 10</w:t>
      </w:r>
    </w:p>
    <w:tbl>
      <w:tblPr>
        <w:tblStyle w:val="TableGrid"/>
        <w:tblW w:type="auto" w:w="0"/>
        <w:tblLook w:firstColumn="1" w:firstRow="1" w:lastColumn="0" w:lastRow="0" w:noHBand="0" w:noVBand="1" w:val="04A0"/>
      </w:tblPr>
      <w:tblGrid>
        <w:gridCol w:w="4320"/>
        <w:gridCol w:w="4320"/>
      </w:tblGrid>
      <w:tr>
        <w:tc>
          <w:tcPr>
            <w:tcW w:type="dxa" w:w="4320"/>
          </w:tcPr>
          <w:p>
            <w:r>
              <w:t>Qualifying Condition</w:t>
            </w:r>
          </w:p>
        </w:tc>
        <w:tc>
          <w:tcPr>
            <w:tcW w:type="dxa" w:w="4320"/>
          </w:tcPr>
          <w:p>
            <w:r>
              <w:t>Marks Awarded</w:t>
            </w:r>
          </w:p>
        </w:tc>
      </w:tr>
      <w:tr>
        <w:tc>
          <w:tcPr>
            <w:tcW w:type="dxa" w:w="4320"/>
          </w:tcPr>
          <w:p>
            <w:r>
              <w:t>Proposed CSP is NIC/MeitY empanelled AND operates sovereign India data centres</w:t>
            </w:r>
          </w:p>
        </w:tc>
        <w:tc>
          <w:tcPr>
            <w:tcW w:type="dxa" w:w="4320"/>
          </w:tcPr>
          <w:p>
            <w:r>
              <w:t>10</w:t>
            </w:r>
          </w:p>
        </w:tc>
      </w:tr>
      <w:tr>
        <w:tc>
          <w:tcPr>
            <w:tcW w:type="dxa" w:w="4320"/>
          </w:tcPr>
          <w:p>
            <w:r>
              <w:t>CSP is MeitY empanelled but without dedicated India-sovereign data centres</w:t>
            </w:r>
          </w:p>
        </w:tc>
        <w:tc>
          <w:tcPr>
            <w:tcW w:type="dxa" w:w="4320"/>
          </w:tcPr>
          <w:p>
            <w:r>
              <w:t>5</w:t>
            </w:r>
          </w:p>
        </w:tc>
      </w:tr>
      <w:tr>
        <w:tc>
          <w:tcPr>
            <w:tcW w:type="dxa" w:w="4320"/>
          </w:tcPr>
          <w:p>
            <w:r>
              <w:t>Non-empanelled CSP proposed (also triggers mandatory disqualification)</w:t>
            </w:r>
          </w:p>
        </w:tc>
        <w:tc>
          <w:tcPr>
            <w:tcW w:type="dxa" w:w="4320"/>
          </w:tcPr>
          <w:p>
            <w:r>
              <w:t>0</w:t>
            </w:r>
          </w:p>
        </w:tc>
      </w:tr>
    </w:tbl>
    <w:p/>
    <w:p>
      <w:r>
        <w:t>Sub-Criterion 3.b: Compliance and Security Certifications — Maximum marks: 10</w:t>
      </w:r>
    </w:p>
    <w:tbl>
      <w:tblPr>
        <w:tblStyle w:val="TableGrid"/>
        <w:tblW w:type="auto" w:w="0"/>
        <w:tblLook w:firstColumn="1" w:firstRow="1" w:lastColumn="0" w:lastRow="0" w:noHBand="0" w:noVBand="1" w:val="04A0"/>
      </w:tblPr>
      <w:tblGrid>
        <w:gridCol w:w="4320"/>
        <w:gridCol w:w="4320"/>
      </w:tblGrid>
      <w:tr>
        <w:tc>
          <w:tcPr>
            <w:tcW w:type="dxa" w:w="4320"/>
          </w:tcPr>
          <w:p>
            <w:r>
              <w:t>Qualifying Condition</w:t>
            </w:r>
          </w:p>
        </w:tc>
        <w:tc>
          <w:tcPr>
            <w:tcW w:type="dxa" w:w="4320"/>
          </w:tcPr>
          <w:p>
            <w:r>
              <w:t>Marks Awarded</w:t>
            </w:r>
          </w:p>
        </w:tc>
      </w:tr>
      <w:tr>
        <w:tc>
          <w:tcPr>
            <w:tcW w:type="dxa" w:w="4320"/>
          </w:tcPr>
          <w:p>
            <w:r>
              <w:t>CMMI Level 5 + ISO 27001 + STQC certified</w:t>
            </w:r>
          </w:p>
        </w:tc>
        <w:tc>
          <w:tcPr>
            <w:tcW w:type="dxa" w:w="4320"/>
          </w:tcPr>
          <w:p>
            <w:r>
              <w:t>10</w:t>
            </w:r>
          </w:p>
        </w:tc>
      </w:tr>
      <w:tr>
        <w:tc>
          <w:tcPr>
            <w:tcW w:type="dxa" w:w="4320"/>
          </w:tcPr>
          <w:p>
            <w:r>
              <w:t>CMMI Level 3 + ISO 27001</w:t>
            </w:r>
          </w:p>
        </w:tc>
        <w:tc>
          <w:tcPr>
            <w:tcW w:type="dxa" w:w="4320"/>
          </w:tcPr>
          <w:p>
            <w:r>
              <w:t>6</w:t>
            </w:r>
          </w:p>
        </w:tc>
      </w:tr>
      <w:tr>
        <w:tc>
          <w:tcPr>
            <w:tcW w:type="dxa" w:w="4320"/>
          </w:tcPr>
          <w:p>
            <w:r>
              <w:t>ISO 27001 only</w:t>
            </w:r>
          </w:p>
        </w:tc>
        <w:tc>
          <w:tcPr>
            <w:tcW w:type="dxa" w:w="4320"/>
          </w:tcPr>
          <w:p>
            <w:r>
              <w:t>3</w:t>
            </w:r>
          </w:p>
        </w:tc>
      </w:tr>
      <w:tr>
        <w:tc>
          <w:tcPr>
            <w:tcW w:type="dxa" w:w="4320"/>
          </w:tcPr>
          <w:p>
            <w:r>
              <w:t>No relevant certification</w:t>
            </w:r>
          </w:p>
        </w:tc>
        <w:tc>
          <w:tcPr>
            <w:tcW w:type="dxa" w:w="4320"/>
          </w:tcPr>
          <w:p>
            <w:r>
              <w:t>0</w:t>
            </w:r>
          </w:p>
        </w:tc>
      </w:tr>
    </w:tbl>
    <w:p/>
    <w:p>
      <w:pPr>
        <w:pStyle w:val="Heading4"/>
      </w:pPr>
      <w:r>
        <w:t>Criterion 4: Financial Capacity — 10 Marks</w:t>
      </w:r>
    </w:p>
    <w:p>
      <w:r>
        <w:t>Sub-Criterion 4.a: Average Annual Turnover (last 3 financial years) — Maximum marks: 10</w:t>
      </w:r>
    </w:p>
    <w:tbl>
      <w:tblPr>
        <w:tblStyle w:val="TableGrid"/>
        <w:tblW w:type="auto" w:w="0"/>
        <w:tblLook w:firstColumn="1" w:firstRow="1" w:lastColumn="0" w:lastRow="0" w:noHBand="0" w:noVBand="1" w:val="04A0"/>
      </w:tblPr>
      <w:tblGrid>
        <w:gridCol w:w="4320"/>
        <w:gridCol w:w="4320"/>
      </w:tblGrid>
      <w:tr>
        <w:tc>
          <w:tcPr>
            <w:tcW w:type="dxa" w:w="4320"/>
          </w:tcPr>
          <w:p>
            <w:r>
              <w:t>Qualifying Condition</w:t>
            </w:r>
          </w:p>
        </w:tc>
        <w:tc>
          <w:tcPr>
            <w:tcW w:type="dxa" w:w="4320"/>
          </w:tcPr>
          <w:p>
            <w:r>
              <w:t>Marks Awarded</w:t>
            </w:r>
          </w:p>
        </w:tc>
      </w:tr>
      <w:tr>
        <w:tc>
          <w:tcPr>
            <w:tcW w:type="dxa" w:w="4320"/>
          </w:tcPr>
          <w:p>
            <w:r>
              <w:t>Average annual turnover greater than ₹150 Crore</w:t>
            </w:r>
          </w:p>
        </w:tc>
        <w:tc>
          <w:tcPr>
            <w:tcW w:type="dxa" w:w="4320"/>
          </w:tcPr>
          <w:p>
            <w:r>
              <w:t>10</w:t>
            </w:r>
          </w:p>
        </w:tc>
      </w:tr>
      <w:tr>
        <w:tc>
          <w:tcPr>
            <w:tcW w:type="dxa" w:w="4320"/>
          </w:tcPr>
          <w:p>
            <w:r>
              <w:t>₹75 Crore to ₹150 Crore</w:t>
            </w:r>
          </w:p>
        </w:tc>
        <w:tc>
          <w:tcPr>
            <w:tcW w:type="dxa" w:w="4320"/>
          </w:tcPr>
          <w:p>
            <w:r>
              <w:t>6</w:t>
            </w:r>
          </w:p>
        </w:tc>
      </w:tr>
      <w:tr>
        <w:tc>
          <w:tcPr>
            <w:tcW w:type="dxa" w:w="4320"/>
          </w:tcPr>
          <w:p>
            <w:r>
              <w:t>₹25 Crore to ₹75 Crore</w:t>
            </w:r>
          </w:p>
        </w:tc>
        <w:tc>
          <w:tcPr>
            <w:tcW w:type="dxa" w:w="4320"/>
          </w:tcPr>
          <w:p>
            <w:r>
              <w:t>3</w:t>
            </w:r>
          </w:p>
        </w:tc>
      </w:tr>
      <w:tr>
        <w:tc>
          <w:tcPr>
            <w:tcW w:type="dxa" w:w="4320"/>
          </w:tcPr>
          <w:p>
            <w:r>
              <w:t>Below ₹25 Crore</w:t>
            </w:r>
          </w:p>
        </w:tc>
        <w:tc>
          <w:tcPr>
            <w:tcW w:type="dxa" w:w="4320"/>
          </w:tcPr>
          <w:p>
            <w:r>
              <w:t>0</w:t>
            </w:r>
          </w:p>
        </w:tc>
      </w:tr>
    </w:tbl>
    <w:p/>
    <w:p>
      <w:pPr>
        <w:pStyle w:val="Heading3"/>
      </w:pPr>
      <w:r>
        <w:t>Category C: Technical Presentation and Live Demonstration — Maximum Marks: 20 | Weight: 20%</w:t>
      </w:r>
    </w:p>
    <w:p>
      <w:r>
        <w:t>Shortlisted bidders (those scoring 70% in each category separately in Categories A and B) shall be invited for a Technical Presentation and Live Demonstration before the RSEGA Evaluation Committee. Evaluation at bid stage will be based on the vendor's demonstration plan and evidence of live systems.</w:t>
      </w:r>
    </w:p>
    <w:p>
      <w:r>
        <w:t>Sub-Criterion 5.a: Technical Presentation — Maximum marks: 10</w:t>
      </w:r>
    </w:p>
    <w:p>
      <w:r>
        <w:t>Evaluated on: clarity of solution architecture, alignment to RSEGA's requirements, proposed AI model governance, data privacy design, and implementation roadmap. Full marks (10) for detailed presentation with clear architecture and live system evidence; Partial (5) for generic content with limited system evidence; 0 for no plan.</w:t>
      </w:r>
    </w:p>
    <w:p>
      <w:r>
        <w:t>Sub-Criterion 5.b: Live Platform Demonstration — Maximum marks: 10</w:t>
      </w:r>
    </w:p>
    <w:p>
      <w:r>
        <w:t>The vendor must conduct a live (not pre-recorded) demonstration of their AI platform or an analogous deployed system. Full marks (10) if a live working system is demonstrated; Partial (5) if vendor commits to a live demo with evidence of existing live systems; 0 if only pre-recorded videos or screenshots are offered.</w:t>
      </w:r>
    </w:p>
    <w:p>
      <w:pPr>
        <w:pStyle w:val="Heading2"/>
      </w:pPr>
      <w:r>
        <w:t>PART D — MANDATORY DOCUMENTS TO BE SUBMITTED</w:t>
      </w:r>
    </w:p>
    <w:p>
      <w:pPr>
        <w:pStyle w:val="ListBullet"/>
      </w:pPr>
      <w:r>
        <w:t>Demand Draft / Bank Guarantee for EMD of ₹25 Lakh</w:t>
      </w:r>
    </w:p>
    <w:p>
      <w:pPr>
        <w:pStyle w:val="ListBullet"/>
      </w:pPr>
      <w:r>
        <w:t>Certificate of Incorporation showing registration date</w:t>
      </w:r>
    </w:p>
    <w:p>
      <w:pPr>
        <w:pStyle w:val="ListBullet"/>
      </w:pPr>
      <w:r>
        <w:t>Self-declaration of non-blacklisting on company letterhead</w:t>
      </w:r>
    </w:p>
    <w:p>
      <w:pPr>
        <w:pStyle w:val="ListBullet"/>
      </w:pPr>
      <w:r>
        <w:t>MeitY / NIC empanelment certificate of proposed CSP</w:t>
      </w:r>
    </w:p>
    <w:p>
      <w:pPr>
        <w:pStyle w:val="ListBullet"/>
      </w:pPr>
      <w:r>
        <w:t>Audited financial statements for the last 3 years</w:t>
      </w:r>
    </w:p>
    <w:p>
      <w:pPr>
        <w:pStyle w:val="ListBullet"/>
      </w:pPr>
      <w:r>
        <w:t>ISO 27001 / CMMI certificates as applicable</w:t>
      </w:r>
    </w:p>
    <w:p>
      <w:pPr>
        <w:pStyle w:val="ListBullet"/>
      </w:pPr>
      <w:r>
        <w:t>Signed Integrity Pact (Annexure-1)</w:t>
      </w:r>
    </w:p>
    <w:p>
      <w:pPr>
        <w:pStyle w:val="ListBullet"/>
      </w:pPr>
      <w:r>
        <w:t>Non-Disclosure Agreement (Annexure-2)</w:t>
      </w:r>
    </w:p>
    <w:p>
      <w:pPr>
        <w:pStyle w:val="ListBullet"/>
      </w:pPr>
      <w:r>
        <w:t>Power of Attorney in favour of the authorised signatory</w:t>
      </w:r>
    </w:p>
    <w:p>
      <w:pPr>
        <w:pStyle w:val="Heading2"/>
      </w:pPr>
      <w:r>
        <w:t>PART E — FINANCIAL BID</w:t>
      </w:r>
    </w:p>
    <w:p>
      <w:r>
        <w:t>The financial bid shall be submitted in a separate sealed envelope. Financial bids of only technically qualified vendors (those meeting all mandatory criteria and scoring 70% overall and 70% in each category separately) will be opened. The L1 (lowest bid) among technically qualified vendors will be awarded the contract.</w:t>
      </w:r>
    </w:p>
    <w:p>
      <w:pPr>
        <w:pStyle w:val="Heading2"/>
      </w:pPr>
      <w:r>
        <w:t>PART F — GENERAL CONDITIONS</w:t>
      </w:r>
    </w:p>
    <w:p>
      <w:r>
        <w:t>RSEGA reserves the right to accept or reject any bid without assigning reasons. All queries must be submitted in writing before the pre-bid meeting date. The decision of the RSEGA Evaluation Committee shall be final and binding.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