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NATIONAL INSURANCE CORPORATION</w:t>
      </w:r>
    </w:p>
    <w:p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REQUEST FOR PROPOSAL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AI-Powered Document Management System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RFP Ref: NIC/PROC/2024/009  |  Issue Date: 01 June 2024  |  Closing Date: 30 June 2024</w:t>
      </w:r>
    </w:p>
    <w:p>
      <w:pPr>
        <w:pBdr>
          <w:bottom w:val="single" w:color="2E75B6" w:sz="6" w:space="1"/>
        </w:pBdr>
        <w:spacing w:after="12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Background &amp; Objective</w:t>
      </w:r>
    </w:p>
    <w:p>
      <w:pPr>
        <w:spacing w:after="100"/>
      </w:pPr>
      <w:r>
        <w:rPr>
          <w:sz w:val="22"/>
          <w:szCs w:val="22"/>
        </w:rPr>
        <w:t xml:space="preserve">National Insurance Corporation (NIC) is a Government of India enterprise with operations across 18 regional offices and approximately 2,000 active staff users. NIC seeks to procure an AI-Powered Document Management System (DMS) to digitize, classify, and provide intelligent search over 5 million legacy insurance policy documents currently maintained in physical form.</w:t>
      </w:r>
    </w:p>
    <w:p>
      <w:pPr>
        <w:spacing w:after="100"/>
      </w:pPr>
      <w:r>
        <w:rPr>
          <w:sz w:val="22"/>
          <w:szCs w:val="22"/>
        </w:rPr>
        <w:t xml:space="preserve">The system must integrate with NIC's existing Oracle ERP 19c infrastructure and provide secure, role-based access to authorized personnel across all regional offices.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Scope of Work</w:t>
      </w:r>
    </w:p>
    <w:p>
      <w:pPr>
        <w:spacing w:after="100"/>
      </w:pPr>
      <w:r>
        <w:rPr>
          <w:sz w:val="22"/>
          <w:szCs w:val="22"/>
        </w:rPr>
        <w:t xml:space="preserve">The selected vendor shall deliver the following: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Digitization and OCR of physical documents with throughput of at least 50,000 pages per 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AI-based automatic document classification with accuracy &gt;= 95% verified on a standard test set of 10,000 documents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Full-text semantic search with sub-3-second response time at peak concurrent 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Access Control (RBAC) with comprehensive audit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with Oracle ERP 19c via REST APIs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Mobile-compatible web interface supporting iOS and Android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Disaster Recovery: RTO &lt;= 4 hours, RPO &lt;= 1 hour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End-user training for 2,000 users and system admin training for 50 administrators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Mandatory &amp; Preferred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616"/>
        <w:gridCol w:w="2808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ISO 27001 Information Security Certification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5 years of enterprise DMS implementation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3 reference clients in the BFSI sector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residency within India (on-premises or Indian cloud region)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accuracy &gt;= 95% verified via PoC on NIC's document sample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SLA: 99.5% uptime with 24x7 technical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integration with Oracle ERP 19c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Multi-language support: Hindi and English as 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On-premise deployment option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AI-powered predictive tagging of 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interface for natural-language document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Commercial Requirements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Budget Ceiling: </w:t>
      </w:r>
      <w:r>
        <w:rPr>
          <w:sz w:val="22"/>
          <w:szCs w:val="22"/>
        </w:rPr>
        <w:t xml:space="preserve">INR 8 Crore (inclusive of all taxes, for full 3-year contract)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Contract Duration: </w:t>
      </w:r>
      <w:r>
        <w:rPr>
          <w:sz w:val="22"/>
          <w:szCs w:val="22"/>
        </w:rPr>
        <w:t xml:space="preserve">3 years from date of go-live, with option to extend by 2 years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Payment Terms: </w:t>
      </w:r>
      <w:r>
        <w:rPr>
          <w:sz w:val="22"/>
          <w:szCs w:val="22"/>
        </w:rPr>
        <w:t xml:space="preserve">30% on contract signing, 40% on go-live acceptance, 30% spread over annual maintenance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Penalty Clause: </w:t>
      </w:r>
      <w:r>
        <w:rPr>
          <w:sz w:val="22"/>
          <w:szCs w:val="22"/>
        </w:rPr>
        <w:t xml:space="preserve">0.5% of contract value per week of delay beyond agreed go-live date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Bid Validity: </w:t>
      </w:r>
      <w:r>
        <w:rPr>
          <w:sz w:val="22"/>
          <w:szCs w:val="22"/>
        </w:rPr>
        <w:t xml:space="preserve">120 days from date of submission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Evaluation Criteria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 Category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Compliance (mandatory and high requirements)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Capability &amp; Live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 Bid (cost competitiveness)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 Experience &amp; Reference Clients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6. Mandatory Submission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Company profile and valid registration/incorporation documents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27001 certificate (must be valid at time of bid submission)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Audited financial statements for last 3 financial years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BFSI reference letters (minimum 3, on client letterhead)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Detailed technical proposal including solution architecture and implementation plan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Itemized commercial bid in INR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Signed acceptance of SLA terms and penalty clause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7. Contact &amp; Submission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Procurement Contact: </w:t>
      </w:r>
      <w:r>
        <w:rPr>
          <w:sz w:val="22"/>
          <w:szCs w:val="22"/>
        </w:rPr>
        <w:t xml:space="preserve">Chief Procurement Officer, NIC Head Office, New Delhi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rfp-dms@nic.gov.in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Submission Mode: </w:t>
      </w:r>
      <w:r>
        <w:rPr>
          <w:sz w:val="22"/>
          <w:szCs w:val="22"/>
        </w:rPr>
        <w:t xml:space="preserve">Physical sealed bid + digital copy on USB to NIC Head Office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Pre-bid Meeting: </w:t>
      </w:r>
      <w:r>
        <w:rPr>
          <w:sz w:val="22"/>
          <w:szCs w:val="22"/>
        </w:rPr>
        <w:t xml:space="preserve">15 June 2024, 10:00 AM IST at NIC Conference Hall, New Delhi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2026-06-08T07:29:02.295Z</dcterms:created>
  <dcterms:modified xsi:type="dcterms:W3CDTF">2026-06-08T07:29:02.296Z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