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PRODUCT REQUIREMENTS DOCUMENT (PRD)</w:t>
      </w:r>
      <w:r>
        <w:rPr>
          <w:b/>
          <w:sz w:val="26"/>
        </w:rPr>
        <w:br/>
        <w:t>RetinaSight — Explainable AI for Diabetic Retinopathy Screening</w:t>
      </w:r>
    </w:p>
    <w:p>
      <w:pPr>
        <w:jc w:val="center"/>
      </w:pPr>
      <w:r>
        <w:rPr>
          <w:i/>
        </w:rPr>
        <w:t>SIH 2026 • Problem Statement 26038 • MATLAB + Simulink</w:t>
      </w:r>
    </w:p>
    <w:p>
      <w:pPr>
        <w:pStyle w:val="Heading1"/>
      </w:pPr>
      <w:r>
        <w:t>1. Product Overview</w:t>
      </w:r>
    </w:p>
    <w:p>
      <w:r>
        <w:t>RetinaSight is a MATLAB-based screening and decision-support prototype for diabetic retinopathy (DR) in rural primary healthcare settings. It combines image quality assessment, adaptive enhancement, retinal/lesion analysis, DR severity grading, explainability, calibrated confidence, human review, and a Simulink model for district-scale deployment.</w:t>
      </w:r>
    </w:p>
    <w:p>
      <w:pPr>
        <w:pStyle w:val="Heading1"/>
      </w:pPr>
      <w:r>
        <w:t>2. Product Goal</w:t>
      </w:r>
    </w:p>
    <w:p>
      <w:pPr>
        <w:pStyle w:val="ListBullet"/>
      </w:pPr>
      <w:r>
        <w:t>Prevent unreliable diagnosis from poor-quality fundus images.</w:t>
      </w:r>
    </w:p>
    <w:p>
      <w:pPr>
        <w:pStyle w:val="ListBullet"/>
      </w:pPr>
      <w:r>
        <w:t>Provide automated DR severity screening with clinically interpretable evidence.</w:t>
      </w:r>
    </w:p>
    <w:p>
      <w:pPr>
        <w:pStyle w:val="ListBullet"/>
      </w:pPr>
      <w:r>
        <w:t>Keep an ophthalmologist in the decision loop.</w:t>
      </w:r>
    </w:p>
    <w:p>
      <w:pPr>
        <w:pStyle w:val="ListBullet"/>
      </w:pPr>
      <w:r>
        <w:t>Demonstrate scalable telemedicine operations for 100,000+ patients/year.</w:t>
      </w:r>
    </w:p>
    <w:p>
      <w:pPr>
        <w:pStyle w:val="ListBullet"/>
      </w:pPr>
      <w:r>
        <w:t>Use MATLAB/Simulink capabilities meaningfully rather than as decorative components.</w:t>
      </w:r>
    </w:p>
    <w:p>
      <w:pPr>
        <w:pStyle w:val="Heading1"/>
      </w:pPr>
      <w:r>
        <w:t>3. Target Users</w:t>
      </w:r>
    </w:p>
    <w:p>
      <w:pPr>
        <w:pStyle w:val="ListBullet"/>
      </w:pPr>
      <w:r>
        <w:t>PHC/field operator — captures images and follows recapture guidance.</w:t>
      </w:r>
    </w:p>
    <w:p>
      <w:pPr>
        <w:pStyle w:val="ListBullet"/>
      </w:pPr>
      <w:r>
        <w:t>Ophthalmologist — reviews AI output, evidence, and report; approves or overrides.</w:t>
      </w:r>
    </w:p>
    <w:p>
      <w:pPr>
        <w:pStyle w:val="ListBullet"/>
      </w:pPr>
      <w:r>
        <w:t>District program administrator — uses Simulink outputs for capacity and resource planning.</w:t>
      </w:r>
    </w:p>
    <w:p>
      <w:pPr>
        <w:pStyle w:val="Heading1"/>
      </w:pPr>
      <w:r>
        <w:t>4. End-to-End Workflow</w:t>
      </w:r>
    </w:p>
    <w:p>
      <w:r>
        <w:t>Fundus Camera → Image Quality Assessment → [Good / Borderline / Ungradable] → Borderline Enhancement + Quality Re-check → Retinal Structure/Lesion Analysis → DR Grading (0–4) → Explainability + Calibrated Confidence → Annotated Report → Ophthalmologist Review → Final Referral Decision.</w:t>
      </w:r>
    </w:p>
    <w:p>
      <w:r>
        <w:t>Parallel deployment workflow: PHC → Image Acquisition → Network/Bandwidth → AI Processing → Queue → Ophthalmologist Review → Simulink throughput/capacity/resource analysis.</w:t>
      </w:r>
    </w:p>
    <w:p>
      <w:pPr>
        <w:pStyle w:val="Heading1"/>
      </w:pPr>
      <w:r>
        <w:t>5. 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t>ID</w:t>
            </w:r>
          </w:p>
        </w:tc>
        <w:tc>
          <w:tcPr>
            <w:tcW w:type="dxa" w:w="3456"/>
          </w:tcPr>
          <w:p>
            <w:r>
              <w:t>Requirement</w:t>
            </w:r>
          </w:p>
        </w:tc>
        <w:tc>
          <w:tcPr>
            <w:tcW w:type="dxa" w:w="3456"/>
          </w:tcPr>
          <w:p>
            <w:r>
              <w:t>Acceptance Direction</w:t>
            </w:r>
          </w:p>
        </w:tc>
      </w:tr>
      <w:tr>
        <w:tc>
          <w:tcPr>
            <w:tcW w:type="dxa" w:w="3456"/>
          </w:tcPr>
          <w:p>
            <w:r>
              <w:t>FR-01</w:t>
            </w:r>
          </w:p>
        </w:tc>
        <w:tc>
          <w:tcPr>
            <w:tcW w:type="dxa" w:w="3456"/>
          </w:tcPr>
          <w:p>
            <w:r>
              <w:t>Image ingestion</w:t>
            </w:r>
          </w:p>
        </w:tc>
        <w:tc>
          <w:tcPr>
            <w:tcW w:type="dxa" w:w="3456"/>
          </w:tcPr>
          <w:p>
            <w:r>
              <w:t>Accept standard fundus images (JPG/PNG) and initiate the pipeline.</w:t>
            </w:r>
          </w:p>
        </w:tc>
      </w:tr>
      <w:tr>
        <w:tc>
          <w:tcPr>
            <w:tcW w:type="dxa" w:w="3456"/>
          </w:tcPr>
          <w:p>
            <w:r>
              <w:t>FR-02</w:t>
            </w:r>
          </w:p>
        </w:tc>
        <w:tc>
          <w:tcPr>
            <w:tcW w:type="dxa" w:w="3456"/>
          </w:tcPr>
          <w:p>
            <w:r>
              <w:t>Quality assessment</w:t>
            </w:r>
          </w:p>
        </w:tc>
        <w:tc>
          <w:tcPr>
            <w:tcW w:type="dxa" w:w="3456"/>
          </w:tcPr>
          <w:p>
            <w:r>
              <w:t>Score focus/sharpness, illumination, FOV coverage and artifacts; classify image as good, borderline or ungradable.</w:t>
            </w:r>
          </w:p>
        </w:tc>
      </w:tr>
      <w:tr>
        <w:tc>
          <w:tcPr>
            <w:tcW w:type="dxa" w:w="3456"/>
          </w:tcPr>
          <w:p>
            <w:r>
              <w:t>FR-03</w:t>
            </w:r>
          </w:p>
        </w:tc>
        <w:tc>
          <w:tcPr>
            <w:tcW w:type="dxa" w:w="3456"/>
          </w:tcPr>
          <w:p>
            <w:r>
              <w:t>Recapture feedback</w:t>
            </w:r>
          </w:p>
        </w:tc>
        <w:tc>
          <w:tcPr>
            <w:tcW w:type="dxa" w:w="3456"/>
          </w:tcPr>
          <w:p>
            <w:r>
              <w:t>Reject ungradable images and provide a reason code plus actionable recapture instruction.</w:t>
            </w:r>
          </w:p>
        </w:tc>
      </w:tr>
      <w:tr>
        <w:tc>
          <w:tcPr>
            <w:tcW w:type="dxa" w:w="3456"/>
          </w:tcPr>
          <w:p>
            <w:r>
              <w:t>FR-04</w:t>
            </w:r>
          </w:p>
        </w:tc>
        <w:tc>
          <w:tcPr>
            <w:tcW w:type="dxa" w:w="3456"/>
          </w:tcPr>
          <w:p>
            <w:r>
              <w:t>Adaptive enhancement</w:t>
            </w:r>
          </w:p>
        </w:tc>
        <w:tc>
          <w:tcPr>
            <w:tcW w:type="dxa" w:w="3456"/>
          </w:tcPr>
          <w:p>
            <w:r>
              <w:t>Apply CLAHE, illumination normalization and denoising only to borderline images; re-check quality afterward.</w:t>
            </w:r>
          </w:p>
        </w:tc>
      </w:tr>
      <w:tr>
        <w:tc>
          <w:tcPr>
            <w:tcW w:type="dxa" w:w="3456"/>
          </w:tcPr>
          <w:p>
            <w:r>
              <w:t>FR-05</w:t>
            </w:r>
          </w:p>
        </w:tc>
        <w:tc>
          <w:tcPr>
            <w:tcW w:type="dxa" w:w="3456"/>
          </w:tcPr>
          <w:p>
            <w:r>
              <w:t>Retinal analysis</w:t>
            </w:r>
          </w:p>
        </w:tc>
        <w:tc>
          <w:tcPr>
            <w:tcW w:type="dxa" w:w="3456"/>
          </w:tcPr>
          <w:p>
            <w:r>
              <w:t>Provide vessel segmentation and, where feasible, optic-disc/fovea localization and lesion analysis.</w:t>
            </w:r>
          </w:p>
        </w:tc>
      </w:tr>
      <w:tr>
        <w:tc>
          <w:tcPr>
            <w:tcW w:type="dxa" w:w="3456"/>
          </w:tcPr>
          <w:p>
            <w:r>
              <w:t>FR-06</w:t>
            </w:r>
          </w:p>
        </w:tc>
        <w:tc>
          <w:tcPr>
            <w:tcW w:type="dxa" w:w="3456"/>
          </w:tcPr>
          <w:p>
            <w:r>
              <w:t>DR grading</w:t>
            </w:r>
          </w:p>
        </w:tc>
        <w:tc>
          <w:tcPr>
            <w:tcW w:type="dxa" w:w="3456"/>
          </w:tcPr>
          <w:p>
            <w:r>
              <w:t>Predict ICDR-style severity Grade 0–4 and derive the competition-defined referable DR decision (Level 2+).</w:t>
            </w:r>
          </w:p>
        </w:tc>
      </w:tr>
      <w:tr>
        <w:tc>
          <w:tcPr>
            <w:tcW w:type="dxa" w:w="3456"/>
          </w:tcPr>
          <w:p>
            <w:r>
              <w:t>FR-07</w:t>
            </w:r>
          </w:p>
        </w:tc>
        <w:tc>
          <w:tcPr>
            <w:tcW w:type="dxa" w:w="3456"/>
          </w:tcPr>
          <w:p>
            <w:r>
              <w:t>Explainability</w:t>
            </w:r>
          </w:p>
        </w:tc>
        <w:tc>
          <w:tcPr>
            <w:tcW w:type="dxa" w:w="3456"/>
          </w:tcPr>
          <w:p>
            <w:r>
              <w:t>Display Grad-CAM plus available lesion-level evidence and locations.</w:t>
            </w:r>
          </w:p>
        </w:tc>
      </w:tr>
      <w:tr>
        <w:tc>
          <w:tcPr>
            <w:tcW w:type="dxa" w:w="3456"/>
          </w:tcPr>
          <w:p>
            <w:r>
              <w:t>FR-08</w:t>
            </w:r>
          </w:p>
        </w:tc>
        <w:tc>
          <w:tcPr>
            <w:tcW w:type="dxa" w:w="3456"/>
          </w:tcPr>
          <w:p>
            <w:r>
              <w:t>Confidence</w:t>
            </w:r>
          </w:p>
        </w:tc>
        <w:tc>
          <w:tcPr>
            <w:tcW w:type="dxa" w:w="3456"/>
          </w:tcPr>
          <w:p>
            <w:r>
              <w:t>Provide calibrated confidence and an uncertainty indicator; avoid presenting raw softmax as clinical certainty.</w:t>
            </w:r>
          </w:p>
        </w:tc>
      </w:tr>
      <w:tr>
        <w:tc>
          <w:tcPr>
            <w:tcW w:type="dxa" w:w="3456"/>
          </w:tcPr>
          <w:p>
            <w:r>
              <w:t>FR-09</w:t>
            </w:r>
          </w:p>
        </w:tc>
        <w:tc>
          <w:tcPr>
            <w:tcW w:type="dxa" w:w="3456"/>
          </w:tcPr>
          <w:p>
            <w:r>
              <w:t>Human review</w:t>
            </w:r>
          </w:p>
        </w:tc>
        <w:tc>
          <w:tcPr>
            <w:tcW w:type="dxa" w:w="3456"/>
          </w:tcPr>
          <w:p>
            <w:r>
              <w:t>Allow ophthalmologist approval/override and preserve the final human decision.</w:t>
            </w:r>
          </w:p>
        </w:tc>
      </w:tr>
      <w:tr>
        <w:tc>
          <w:tcPr>
            <w:tcW w:type="dxa" w:w="3456"/>
          </w:tcPr>
          <w:p>
            <w:r>
              <w:t>FR-10</w:t>
            </w:r>
          </w:p>
        </w:tc>
        <w:tc>
          <w:tcPr>
            <w:tcW w:type="dxa" w:w="3456"/>
          </w:tcPr>
          <w:p>
            <w:r>
              <w:t>Report</w:t>
            </w:r>
          </w:p>
        </w:tc>
        <w:tc>
          <w:tcPr>
            <w:tcW w:type="dxa" w:w="3456"/>
          </w:tcPr>
          <w:p>
            <w:r>
              <w:t>Generate a concise annotated screening report suitable for rapid review.</w:t>
            </w:r>
          </w:p>
        </w:tc>
      </w:tr>
      <w:tr>
        <w:tc>
          <w:tcPr>
            <w:tcW w:type="dxa" w:w="3456"/>
          </w:tcPr>
          <w:p>
            <w:r>
              <w:t>FR-11</w:t>
            </w:r>
          </w:p>
        </w:tc>
        <w:tc>
          <w:tcPr>
            <w:tcW w:type="dxa" w:w="3456"/>
          </w:tcPr>
          <w:p>
            <w:r>
              <w:t>Simulation</w:t>
            </w:r>
          </w:p>
        </w:tc>
        <w:tc>
          <w:tcPr>
            <w:tcW w:type="dxa" w:w="3456"/>
          </w:tcPr>
          <w:p>
            <w:r>
              <w:t>Model acquisition rate, transmission/bandwidth, AI processing, queues and reviewer capacity in Simulink.</w:t>
            </w:r>
          </w:p>
        </w:tc>
      </w:tr>
      <w:tr>
        <w:tc>
          <w:tcPr>
            <w:tcW w:type="dxa" w:w="3456"/>
          </w:tcPr>
          <w:p>
            <w:r>
              <w:t>FR-12</w:t>
            </w:r>
          </w:p>
        </w:tc>
        <w:tc>
          <w:tcPr>
            <w:tcW w:type="dxa" w:w="3456"/>
          </w:tcPr>
          <w:p>
            <w:r>
              <w:t>Validation</w:t>
            </w:r>
          </w:p>
        </w:tc>
        <w:tc>
          <w:tcPr>
            <w:tcW w:type="dxa" w:w="3456"/>
          </w:tcPr>
          <w:p>
            <w:r>
              <w:t>Produce reproducible metrics, confusion matrices, ROC/AUC, sensitivity/specificity and ablation results.</w:t>
            </w:r>
          </w:p>
        </w:tc>
      </w:tr>
    </w:tbl>
    <w:p>
      <w:pPr>
        <w:pStyle w:val="Heading1"/>
      </w:pPr>
      <w:r>
        <w:t>6. AI / Technical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Technology</w:t>
            </w:r>
          </w:p>
        </w:tc>
        <w:tc>
          <w:tcPr>
            <w:tcW w:type="dxa" w:w="5184"/>
          </w:tcPr>
          <w:p>
            <w:r>
              <w:t>Use</w:t>
            </w:r>
          </w:p>
        </w:tc>
      </w:tr>
      <w:tr>
        <w:tc>
          <w:tcPr>
            <w:tcW w:type="dxa" w:w="5184"/>
          </w:tcPr>
          <w:p>
            <w:r>
              <w:t>Image Processing Toolbox</w:t>
            </w:r>
          </w:p>
        </w:tc>
        <w:tc>
          <w:tcPr>
            <w:tcW w:type="dxa" w:w="5184"/>
          </w:tcPr>
          <w:p>
            <w:r>
              <w:t>CLAHE (adapthisteq), denoising, illumination normalization, morphology</w:t>
            </w:r>
          </w:p>
        </w:tc>
      </w:tr>
      <w:tr>
        <w:tc>
          <w:tcPr>
            <w:tcW w:type="dxa" w:w="5184"/>
          </w:tcPr>
          <w:p>
            <w:r>
              <w:t>Deep Learning Toolbox</w:t>
            </w:r>
          </w:p>
        </w:tc>
        <w:tc>
          <w:tcPr>
            <w:tcW w:type="dxa" w:w="5184"/>
          </w:tcPr>
          <w:p>
            <w:r>
              <w:t>Transfer-learning DR classifier; U-Net/segmentation where justified; Grad-CAM</w:t>
            </w:r>
          </w:p>
        </w:tc>
      </w:tr>
      <w:tr>
        <w:tc>
          <w:tcPr>
            <w:tcW w:type="dxa" w:w="5184"/>
          </w:tcPr>
          <w:p>
            <w:r>
              <w:t>Computer Vision Toolbox</w:t>
            </w:r>
          </w:p>
        </w:tc>
        <w:tc>
          <w:tcPr>
            <w:tcW w:type="dxa" w:w="5184"/>
          </w:tcPr>
          <w:p>
            <w:r>
              <w:t>Geometric/feature methods and optic-disc/fovea localization fallbacks</w:t>
            </w:r>
          </w:p>
        </w:tc>
      </w:tr>
      <w:tr>
        <w:tc>
          <w:tcPr>
            <w:tcW w:type="dxa" w:w="5184"/>
          </w:tcPr>
          <w:p>
            <w:r>
              <w:t>Statistics and Machine Learning Toolbox</w:t>
            </w:r>
          </w:p>
        </w:tc>
        <w:tc>
          <w:tcPr>
            <w:tcW w:type="dxa" w:w="5184"/>
          </w:tcPr>
          <w:p>
            <w:r>
              <w:t>Calibration, ROC/AUC, sensitivity/specificity and statistical evaluation</w:t>
            </w:r>
          </w:p>
        </w:tc>
      </w:tr>
      <w:tr>
        <w:tc>
          <w:tcPr>
            <w:tcW w:type="dxa" w:w="5184"/>
          </w:tcPr>
          <w:p>
            <w:r>
              <w:t>Medical Imaging Toolbox</w:t>
            </w:r>
          </w:p>
        </w:tc>
        <w:tc>
          <w:tcPr>
            <w:tcW w:type="dxa" w:w="5184"/>
          </w:tcPr>
          <w:p>
            <w:r>
              <w:t>Medical image workflow/visualization as applicable</w:t>
            </w:r>
          </w:p>
        </w:tc>
      </w:tr>
      <w:tr>
        <w:tc>
          <w:tcPr>
            <w:tcW w:type="dxa" w:w="5184"/>
          </w:tcPr>
          <w:p>
            <w:r>
              <w:t>Simulink + SimEvents</w:t>
            </w:r>
          </w:p>
        </w:tc>
        <w:tc>
          <w:tcPr>
            <w:tcW w:type="dxa" w:w="5184"/>
          </w:tcPr>
          <w:p>
            <w:r>
              <w:t>Discrete-event modelling of arrival, queues, processing, network and review capacity</w:t>
            </w:r>
          </w:p>
        </w:tc>
      </w:tr>
      <w:tr>
        <w:tc>
          <w:tcPr>
            <w:tcW w:type="dxa" w:w="5184"/>
          </w:tcPr>
          <w:p>
            <w:r>
              <w:t>MATLAB UI / App Designer</w:t>
            </w:r>
          </w:p>
        </w:tc>
        <w:tc>
          <w:tcPr>
            <w:tcW w:type="dxa" w:w="5184"/>
          </w:tcPr>
          <w:p>
            <w:r>
              <w:t>Operator/ophthalmologist demo interface and report workflow</w:t>
            </w:r>
          </w:p>
        </w:tc>
      </w:tr>
    </w:tbl>
    <w:p>
      <w:pPr>
        <w:pStyle w:val="Heading1"/>
      </w:pPr>
      <w:r>
        <w:t>7. Dataset &amp; Experimental Strategy</w:t>
      </w:r>
    </w:p>
    <w:p>
      <w:pPr>
        <w:pStyle w:val="ListBullet"/>
      </w:pPr>
      <w:r>
        <w:t>APTOS 2019: primary DR grading training/validation/testing.</w:t>
      </w:r>
    </w:p>
    <w:p>
      <w:pPr>
        <w:pStyle w:val="ListBullet"/>
      </w:pPr>
      <w:r>
        <w:t>IDRiD: lesion-level analysis and additional grading validation.</w:t>
      </w:r>
    </w:p>
    <w:p>
      <w:pPr>
        <w:pStyle w:val="ListBullet"/>
      </w:pPr>
      <w:r>
        <w:t>DRIVE: vessel segmentation.</w:t>
      </w:r>
    </w:p>
    <w:p>
      <w:pPr>
        <w:pStyle w:val="ListBullet"/>
      </w:pPr>
      <w:r>
        <w:t>Messidor-2: untouched external validation set; do not use for training or hyperparameter tuning.</w:t>
      </w:r>
    </w:p>
    <w:p>
      <w:pPr>
        <w:pStyle w:val="ListBullet"/>
      </w:pPr>
      <w:r>
        <w:t>Use patient/eye-level separation where metadata permits; avoid crop-level leakage.</w:t>
      </w:r>
    </w:p>
    <w:p>
      <w:pPr>
        <w:pStyle w:val="ListBullet"/>
      </w:pPr>
      <w:r>
        <w:t>Use realistic augmentation and class-weighted/focal loss for class imbalance.</w:t>
      </w:r>
    </w:p>
    <w:p>
      <w:pPr>
        <w:pStyle w:val="ListBullet"/>
      </w:pPr>
      <w:r>
        <w:t>Report both multiclass grading performance and the Level 2+ referable target.</w:t>
      </w:r>
    </w:p>
    <w:p>
      <w:pPr>
        <w:pStyle w:val="ListBullet"/>
      </w:pPr>
      <w:r>
        <w:t>Do not claim &gt;90% sensitivity / &gt;85% specificity until experimentally demonstrated.</w:t>
      </w:r>
    </w:p>
    <w:p>
      <w:pPr>
        <w:pStyle w:val="Heading1"/>
      </w:pPr>
      <w:r>
        <w:t>8. Explainability &amp; Safety Requirements</w:t>
      </w:r>
    </w:p>
    <w:p>
      <w:pPr>
        <w:pStyle w:val="ListBullet"/>
      </w:pPr>
      <w:r>
        <w:t>Grad-CAM must be presented as model attention, not proof of causality.</w:t>
      </w:r>
    </w:p>
    <w:p>
      <w:pPr>
        <w:pStyle w:val="ListBullet"/>
      </w:pPr>
      <w:r>
        <w:t>Lesion evidence should be separated from classifier output unless validated as a predictive feature.</w:t>
      </w:r>
    </w:p>
    <w:p>
      <w:pPr>
        <w:pStyle w:val="ListBullet"/>
      </w:pPr>
      <w:r>
        <w:t>Low-confidence/uncertain cases must be routed for human review.</w:t>
      </w:r>
    </w:p>
    <w:p>
      <w:pPr>
        <w:pStyle w:val="ListBullet"/>
      </w:pPr>
      <w:r>
        <w:t>The prototype must clearly state that it is a screening/decision-support system, not a replacement for an ophthalmologist.</w:t>
      </w:r>
    </w:p>
    <w:p>
      <w:pPr>
        <w:pStyle w:val="ListBullet"/>
      </w:pPr>
      <w:r>
        <w:t>Sub-pixel microaneurysm detection is a target from the problem statement; it must not be claimed as achieved without evidence.</w:t>
      </w:r>
    </w:p>
    <w:p>
      <w:pPr>
        <w:pStyle w:val="Heading1"/>
      </w:pPr>
      <w:r>
        <w:t>9. Simulink Requirements</w:t>
      </w:r>
    </w:p>
    <w:p>
      <w:pPr>
        <w:pStyle w:val="ListBullet"/>
      </w:pPr>
      <w:r>
        <w:t>Inputs: patient arrival rate, image acquisition time, image size, bandwidth, transmission delay, AI processing time, recapture rate, referral rate, review time and number of reviewers.</w:t>
      </w:r>
    </w:p>
    <w:p>
      <w:pPr>
        <w:pStyle w:val="ListBullet"/>
      </w:pPr>
      <w:r>
        <w:t>Outputs: throughput, waiting time, queue length, reviewer utilization, bandwidth requirement, bottleneck and annual capacity.</w:t>
      </w:r>
    </w:p>
    <w:p>
      <w:pPr>
        <w:pStyle w:val="ListBullet"/>
      </w:pPr>
      <w:r>
        <w:t>Run what-if scenarios for different patient loads, connectivity and ophthalmologist counts.</w:t>
      </w:r>
    </w:p>
    <w:p>
      <w:pPr>
        <w:pStyle w:val="ListBullet"/>
      </w:pPr>
      <w:r>
        <w:t>Demonstrate whether the configured system can support the 100,000+ patients/year scenario.</w:t>
      </w:r>
    </w:p>
    <w:p>
      <w:pPr>
        <w:pStyle w:val="Heading1"/>
      </w:pPr>
      <w:r>
        <w:t>10. MVP / Scope Priority</w:t>
      </w:r>
    </w:p>
    <w:p>
      <w:pPr>
        <w:pStyle w:val="ListBullet"/>
      </w:pPr>
      <w:r>
        <w:t>MUST: quality gate + recapture; DR classifier; Grad-CAM; calibrated confidence; report/UI; basic Simulink model; rigorous validation.</w:t>
      </w:r>
    </w:p>
    <w:p>
      <w:pPr>
        <w:pStyle w:val="ListBullet"/>
      </w:pPr>
      <w:r>
        <w:t>SHOULD: lesion detection/evidence; vessel segmentation; optic-disc/fovea localization.</w:t>
      </w:r>
    </w:p>
    <w:p>
      <w:pPr>
        <w:pStyle w:val="ListBullet"/>
      </w:pPr>
      <w:r>
        <w:t>IF TIME: advanced lesion segmentation, neovascularization, advanced uncertainty analysis.</w:t>
      </w:r>
    </w:p>
    <w:p>
      <w:r>
        <w:t>Principle: protect the working core. Optional segmentation must not block grading, explainability, validation or the Simulink demo.</w:t>
      </w:r>
    </w:p>
    <w:p>
      <w:pPr>
        <w:pStyle w:val="Heading1"/>
      </w:pPr>
      <w:r>
        <w:t>11. Key Differentiators</w:t>
      </w:r>
    </w:p>
    <w:p>
      <w:pPr>
        <w:pStyle w:val="ListBullet"/>
      </w:pPr>
      <w:r>
        <w:t>Quality-gated screening with immediate recapture feedback.</w:t>
      </w:r>
    </w:p>
    <w:p>
      <w:pPr>
        <w:pStyle w:val="ListBullet"/>
      </w:pPr>
      <w:r>
        <w:t>Clinical-evidence-oriented explainability combining model attention with lesion evidence.</w:t>
      </w:r>
    </w:p>
    <w:p>
      <w:pPr>
        <w:pStyle w:val="ListBullet"/>
      </w:pPr>
      <w:r>
        <w:t>Calibrated confidence and uncertainty integrated into human review.</w:t>
      </w:r>
    </w:p>
    <w:p>
      <w:pPr>
        <w:pStyle w:val="ListBullet"/>
      </w:pPr>
      <w:r>
        <w:t>Operational Simulink model for bandwidth, queue and specialist-resource optimization.</w:t>
      </w:r>
    </w:p>
    <w:p>
      <w:r>
        <w:t>These are integration/workflow differentiators; standard CNN, U-Net, CLAHE and Grad-CAM should not be marketed as inventions.</w:t>
      </w:r>
    </w:p>
    <w:p>
      <w:pPr>
        <w:pStyle w:val="Heading1"/>
      </w:pPr>
      <w:r>
        <w:t>12. Success Criteria</w:t>
      </w:r>
    </w:p>
    <w:p>
      <w:pPr>
        <w:pStyle w:val="ListBullet"/>
      </w:pPr>
      <w:r>
        <w:t>Working end-to-end MATLAB prototype from fundus image to report.</w:t>
      </w:r>
    </w:p>
    <w:p>
      <w:pPr>
        <w:pStyle w:val="ListBullet"/>
      </w:pPr>
      <w:r>
        <w:t>Target the PS requirement of &gt;90% sensitivity and &gt;85% specificity for referable DR, with honest measured results.</w:t>
      </w:r>
    </w:p>
    <w:p>
      <w:pPr>
        <w:pStyle w:val="ListBullet"/>
      </w:pPr>
      <w:r>
        <w:t>External validation on a held-out dataset.</w:t>
      </w:r>
    </w:p>
    <w:p>
      <w:pPr>
        <w:pStyle w:val="ListBullet"/>
      </w:pPr>
      <w:r>
        <w:t>Explainability output that can be inspected quickly by a reviewer.</w:t>
      </w:r>
    </w:p>
    <w:p>
      <w:pPr>
        <w:pStyle w:val="ListBullet"/>
      </w:pPr>
      <w:r>
        <w:t>Simulink model demonstrating throughput, bottlenecks and resource scenarios for 100,000+ annual patients.</w:t>
      </w:r>
    </w:p>
    <w:p>
      <w:pPr>
        <w:pStyle w:val="ListBullet"/>
      </w:pPr>
      <w:r>
        <w:t>Reproducible experiments and ablation showing whether added modules improve the system.</w:t>
      </w:r>
    </w:p>
    <w:p>
      <w:pPr>
        <w:pStyle w:val="Heading1"/>
      </w:pPr>
      <w:r>
        <w:t>13. Key Risks &amp; Fallbacks</w:t>
      </w:r>
    </w:p>
    <w:p>
      <w:pPr>
        <w:pStyle w:val="ListBullet"/>
      </w:pPr>
      <w:r>
        <w:t>Lesion segmentation underperforms → use high-recall candidate detection / evidence-only mode rather than blocking DR grading.</w:t>
      </w:r>
    </w:p>
    <w:p>
      <w:pPr>
        <w:pStyle w:val="ListBullet"/>
      </w:pPr>
      <w:r>
        <w:t>External performance below target → report honestly; tune only on training/validation data and prioritize clinically appropriate sensitivity.</w:t>
      </w:r>
    </w:p>
    <w:p>
      <w:pPr>
        <w:pStyle w:val="ListBullet"/>
      </w:pPr>
      <w:r>
        <w:t>Time constraints → prioritize quality + grading + explainability + calibration + report + Simulink.</w:t>
      </w:r>
    </w:p>
    <w:p>
      <w:pPr>
        <w:pStyle w:val="ListBullet"/>
      </w:pPr>
      <w:r>
        <w:t>Heavy model too slow → benchmark smaller backbones and select the best accuracy/latency trade-off.</w:t>
      </w:r>
    </w:p>
    <w:p>
      <w:pPr>
        <w:pStyle w:val="Heading1"/>
      </w:pPr>
      <w:r>
        <w:t>14. Final Demo Flow</w:t>
      </w:r>
    </w:p>
    <w:p>
      <w:r>
        <w:t>1) Upload/capture fundus image → 2) quality score → 3) show recapture for a bad image → 4) process a good image → 5) show DR grade → 6) show Grad-CAM + lesion evidence + confidence → 7) generate report → 8) ophthalmologist approve/override → 9) show Simulink district-scale scenario and bottleneck/resource outputs.</w:t>
      </w:r>
    </w:p>
    <w:p>
      <w:pPr>
        <w:pStyle w:val="Heading1"/>
      </w:pPr>
      <w:r>
        <w:t>15. Product Principle</w:t>
      </w:r>
    </w:p>
    <w:p>
      <w:r>
        <w:t>Detect → Explain → Validate → Refer → Scale. The product succeeds when every major component maps directly to the SIH requirements and can be demonstrated with measured evidence.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