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2D329" w14:textId="07506791" w:rsidR="00DE7C0F" w:rsidRDefault="00000000">
      <w:pPr>
        <w:pStyle w:val="Heading1"/>
      </w:pPr>
      <w:bookmarkStart w:id="0" w:name="X79c6cf9cfaf98e987c33f33df2210b1b8249306"/>
      <w:r>
        <w:t xml:space="preserve">Fine‑Grained Risk Scoring </w:t>
      </w:r>
      <w:r w:rsidR="0045251F">
        <w:t xml:space="preserve">for Agentic AI use cases </w:t>
      </w:r>
      <w:r>
        <w:t xml:space="preserve">(Read‑Only </w:t>
      </w:r>
      <w:r w:rsidR="00615666">
        <w:t>p</w:t>
      </w:r>
      <w:r>
        <w:t>hase)</w:t>
      </w:r>
    </w:p>
    <w:p w14:paraId="13DB867E" w14:textId="581C5106" w:rsidR="00DE7C0F" w:rsidRDefault="00000000">
      <w:pPr>
        <w:pStyle w:val="FirstParagraph"/>
      </w:pPr>
      <w:r>
        <w:t xml:space="preserve">This note explains a practical way to assess the risk of </w:t>
      </w:r>
      <w:r w:rsidR="0045251F">
        <w:rPr>
          <w:b/>
          <w:bCs/>
        </w:rPr>
        <w:t>A</w:t>
      </w:r>
      <w:r>
        <w:rPr>
          <w:b/>
          <w:bCs/>
        </w:rPr>
        <w:t>gentic AI</w:t>
      </w:r>
      <w:r>
        <w:t xml:space="preserve"> systems that operate in </w:t>
      </w:r>
      <w:r>
        <w:rPr>
          <w:b/>
          <w:bCs/>
        </w:rPr>
        <w:t>read‑only</w:t>
      </w:r>
      <w:r>
        <w:t xml:space="preserve"> mode. It is written for decision‑makers who need clarity on what is being evaluated and why, without getting lost in formulas. A separate scoring worksheet (provided alongside this document) implements the calculations.</w:t>
      </w:r>
    </w:p>
    <w:p w14:paraId="67C35066" w14:textId="77777777" w:rsidR="00DE7C0F" w:rsidRDefault="00000000">
      <w:pPr>
        <w:pStyle w:val="Heading2"/>
      </w:pPr>
      <w:bookmarkStart w:id="1" w:name="what-we-are-assessing"/>
      <w:r>
        <w:t>What we are assessing</w:t>
      </w:r>
    </w:p>
    <w:p w14:paraId="4AF0393A" w14:textId="29528A77" w:rsidR="00DE7C0F" w:rsidRDefault="00000000">
      <w:pPr>
        <w:pStyle w:val="FirstParagraph"/>
      </w:pPr>
      <w:r>
        <w:t xml:space="preserve">An </w:t>
      </w:r>
      <w:r w:rsidR="0045251F">
        <w:t>A</w:t>
      </w:r>
      <w:r>
        <w:t xml:space="preserve">gentic AI differs from a simple Q&amp;A chatbot. Even without writing data, it still </w:t>
      </w:r>
      <w:r>
        <w:rPr>
          <w:b/>
          <w:bCs/>
        </w:rPr>
        <w:t>plans tasks</w:t>
      </w:r>
      <w:r>
        <w:t xml:space="preserve">, </w:t>
      </w:r>
      <w:r>
        <w:rPr>
          <w:b/>
          <w:bCs/>
        </w:rPr>
        <w:t>selects tools or connectors</w:t>
      </w:r>
      <w:r>
        <w:t xml:space="preserve">, and </w:t>
      </w:r>
      <w:r>
        <w:rPr>
          <w:b/>
          <w:bCs/>
        </w:rPr>
        <w:t>iterates</w:t>
      </w:r>
      <w:r>
        <w:t xml:space="preserve"> to reach a goal. Those capabilities introduce variability in behavior, cost, and data exposure. The framework below evaluates these characteristics systematically so you can decide which safeguards are necessary before launch.</w:t>
      </w:r>
    </w:p>
    <w:p w14:paraId="7CD031F8" w14:textId="77777777" w:rsidR="00DE7C0F" w:rsidRDefault="00000000">
      <w:pPr>
        <w:pStyle w:val="Heading2"/>
      </w:pPr>
      <w:bookmarkStart w:id="2" w:name="principles-behind-the-framework"/>
      <w:bookmarkEnd w:id="1"/>
      <w:r>
        <w:t>Principles behind the framework</w:t>
      </w:r>
    </w:p>
    <w:p w14:paraId="5A19F75F" w14:textId="3E828CA2" w:rsidR="00DE7C0F" w:rsidRDefault="00000000">
      <w:pPr>
        <w:pStyle w:val="Compact"/>
        <w:numPr>
          <w:ilvl w:val="0"/>
          <w:numId w:val="2"/>
        </w:numPr>
      </w:pPr>
      <w:r>
        <w:rPr>
          <w:b/>
          <w:bCs/>
        </w:rPr>
        <w:t>Purpose and proportionality</w:t>
      </w:r>
      <w:r w:rsidR="0045251F" w:rsidRPr="0045251F">
        <w:t xml:space="preserve"> - </w:t>
      </w:r>
      <w:r w:rsidR="0045251F">
        <w:t>w</w:t>
      </w:r>
      <w:r>
        <w:t>e judge risk relative to the agent’s intended purpose and the environment in which it runs. More autonomy, more sensitive data, or wider exposure calls for stronger controls.</w:t>
      </w:r>
    </w:p>
    <w:p w14:paraId="3133D027" w14:textId="504ADE4C" w:rsidR="00DE7C0F" w:rsidRDefault="00000000">
      <w:pPr>
        <w:pStyle w:val="Compact"/>
        <w:numPr>
          <w:ilvl w:val="0"/>
          <w:numId w:val="2"/>
        </w:numPr>
      </w:pPr>
      <w:r>
        <w:rPr>
          <w:b/>
          <w:bCs/>
        </w:rPr>
        <w:t>Transparency and accountability</w:t>
      </w:r>
      <w:r w:rsidR="0045251F" w:rsidRPr="0045251F">
        <w:t xml:space="preserve"> - e</w:t>
      </w:r>
      <w:r>
        <w:t>very decision the agent makes should be explainable through traces and logs. Read‑only does not mean risk‑free; it must still be auditable.</w:t>
      </w:r>
    </w:p>
    <w:p w14:paraId="2BC53D70" w14:textId="4B141AF7" w:rsidR="00DE7C0F" w:rsidRDefault="00000000">
      <w:pPr>
        <w:pStyle w:val="Compact"/>
        <w:numPr>
          <w:ilvl w:val="0"/>
          <w:numId w:val="2"/>
        </w:numPr>
      </w:pPr>
      <w:r>
        <w:rPr>
          <w:b/>
          <w:bCs/>
        </w:rPr>
        <w:t>Defense in depth</w:t>
      </w:r>
      <w:r w:rsidR="0045251F" w:rsidRPr="0045251F">
        <w:t xml:space="preserve"> - n</w:t>
      </w:r>
      <w:r>
        <w:t>o single control is sufficient. We combine design limits (caps, allow‑lists), governance (approvals, reviews), and technical guardrails (redaction, moderation, injection filters).</w:t>
      </w:r>
    </w:p>
    <w:p w14:paraId="48D2C049" w14:textId="0B18B636" w:rsidR="00DE7C0F" w:rsidRDefault="00000000">
      <w:pPr>
        <w:pStyle w:val="Compact"/>
        <w:numPr>
          <w:ilvl w:val="0"/>
          <w:numId w:val="2"/>
        </w:numPr>
      </w:pPr>
      <w:r>
        <w:rPr>
          <w:b/>
          <w:bCs/>
        </w:rPr>
        <w:t>Conservative treatment of data</w:t>
      </w:r>
      <w:r w:rsidR="0045251F">
        <w:rPr>
          <w:b/>
          <w:bCs/>
        </w:rPr>
        <w:t xml:space="preserve"> </w:t>
      </w:r>
      <w:r w:rsidR="0045251F">
        <w:t>- w</w:t>
      </w:r>
      <w:r>
        <w:t xml:space="preserve">hen in doubt, we rate data sensitivity by the </w:t>
      </w:r>
      <w:r>
        <w:rPr>
          <w:b/>
          <w:bCs/>
        </w:rPr>
        <w:t>stricter</w:t>
      </w:r>
      <w:r>
        <w:t xml:space="preserve"> dimension (PII or corporate classification). This avoids underestimating impact.</w:t>
      </w:r>
    </w:p>
    <w:p w14:paraId="58279F1D" w14:textId="2061A405" w:rsidR="00DE7C0F" w:rsidRDefault="00000000">
      <w:pPr>
        <w:pStyle w:val="Compact"/>
        <w:numPr>
          <w:ilvl w:val="0"/>
          <w:numId w:val="2"/>
        </w:numPr>
      </w:pPr>
      <w:r>
        <w:rPr>
          <w:b/>
          <w:bCs/>
        </w:rPr>
        <w:t>Composable scoring</w:t>
      </w:r>
      <w:r>
        <w:t xml:space="preserve"> </w:t>
      </w:r>
      <w:r w:rsidR="0045251F">
        <w:t>- w</w:t>
      </w:r>
      <w:r>
        <w:t>e separate core drivers of risk from situational modifiers. The result is simple to communicate yet flexible enough to reflect context.</w:t>
      </w:r>
    </w:p>
    <w:p w14:paraId="030FF946" w14:textId="77777777" w:rsidR="00DE7C0F" w:rsidRDefault="00000000">
      <w:pPr>
        <w:pStyle w:val="Heading2"/>
      </w:pPr>
      <w:bookmarkStart w:id="3" w:name="concepts-and-terminology"/>
      <w:bookmarkEnd w:id="2"/>
      <w:r>
        <w:t>Concepts and terminology</w:t>
      </w:r>
    </w:p>
    <w:p w14:paraId="16DAAED3" w14:textId="77777777" w:rsidR="00DE7C0F" w:rsidRDefault="00000000">
      <w:pPr>
        <w:pStyle w:val="Compact"/>
        <w:numPr>
          <w:ilvl w:val="0"/>
          <w:numId w:val="3"/>
        </w:numPr>
      </w:pPr>
      <w:r>
        <w:rPr>
          <w:b/>
          <w:bCs/>
        </w:rPr>
        <w:t>Autonomy</w:t>
      </w:r>
      <w:r>
        <w:t xml:space="preserve"> describes the agent’s degrees of freedom in planning and execution. It considers how broadly the agent can plan, how many and what kind of tools it can use, whether it is allowed to loop or retry, how many agents/tools are orchestrated together, and the strength of </w:t>
      </w:r>
      <w:r>
        <w:rPr>
          <w:b/>
          <w:bCs/>
        </w:rPr>
        <w:t>human oversight</w:t>
      </w:r>
      <w:r>
        <w:t>. Oversight reduces effective autonomy because it constrains the path to action.</w:t>
      </w:r>
    </w:p>
    <w:p w14:paraId="5E719790" w14:textId="77777777" w:rsidR="00DE7C0F" w:rsidRDefault="00000000">
      <w:pPr>
        <w:pStyle w:val="Compact"/>
        <w:numPr>
          <w:ilvl w:val="0"/>
          <w:numId w:val="3"/>
        </w:numPr>
      </w:pPr>
      <w:r>
        <w:rPr>
          <w:b/>
          <w:bCs/>
        </w:rPr>
        <w:t>Data</w:t>
      </w:r>
      <w:r>
        <w:t xml:space="preserve"> covers two dimensions that are both relevant: the presence and sensitivity of </w:t>
      </w:r>
      <w:r>
        <w:rPr>
          <w:b/>
          <w:bCs/>
        </w:rPr>
        <w:t>personal data (PII)</w:t>
      </w:r>
      <w:r>
        <w:t xml:space="preserve"> and the organization’s </w:t>
      </w:r>
      <w:r>
        <w:rPr>
          <w:b/>
          <w:bCs/>
        </w:rPr>
        <w:t>corporate classification</w:t>
      </w:r>
      <w:r>
        <w:t xml:space="preserve"> (e.g., public, </w:t>
      </w:r>
      <w:r>
        <w:lastRenderedPageBreak/>
        <w:t>confidential, restricted/secret). Because either can drive impact, we treat the overall data factor according to the stricter of the two.</w:t>
      </w:r>
    </w:p>
    <w:p w14:paraId="46D06806" w14:textId="22A1746A" w:rsidR="00DE7C0F" w:rsidRDefault="00000000">
      <w:pPr>
        <w:pStyle w:val="Compact"/>
        <w:numPr>
          <w:ilvl w:val="0"/>
          <w:numId w:val="3"/>
        </w:numPr>
      </w:pPr>
      <w:r>
        <w:rPr>
          <w:b/>
          <w:bCs/>
        </w:rPr>
        <w:t>Exposure</w:t>
      </w:r>
      <w:r>
        <w:t xml:space="preserve"> reflects who can be affected by the agent’s outputs. Internal‑only exposure carries less reputational and legal risk than partner pilots, which in turn carry less than broad public or customer‑facing deployments. We also look at </w:t>
      </w:r>
      <w:r>
        <w:rPr>
          <w:b/>
          <w:bCs/>
        </w:rPr>
        <w:t>blast radius</w:t>
      </w:r>
      <w:r w:rsidR="0045251F">
        <w:t xml:space="preserve">: </w:t>
      </w:r>
      <w:r>
        <w:t>how widely outputs propagate and how reversible they are in practice.</w:t>
      </w:r>
    </w:p>
    <w:p w14:paraId="4433798F" w14:textId="77777777" w:rsidR="00DE7C0F" w:rsidRDefault="00000000">
      <w:pPr>
        <w:pStyle w:val="Compact"/>
        <w:numPr>
          <w:ilvl w:val="0"/>
          <w:numId w:val="3"/>
        </w:numPr>
      </w:pPr>
      <w:r>
        <w:rPr>
          <w:b/>
          <w:bCs/>
        </w:rPr>
        <w:t>Modifiers</w:t>
      </w:r>
      <w:r>
        <w:t xml:space="preserve"> adjust the core picture without redefining it. Typical modifiers capture </w:t>
      </w:r>
      <w:r>
        <w:rPr>
          <w:b/>
          <w:bCs/>
        </w:rPr>
        <w:t>cost volatility</w:t>
      </w:r>
      <w:r>
        <w:t xml:space="preserve"> (how unpredictable token or API usage is), </w:t>
      </w:r>
      <w:r>
        <w:rPr>
          <w:b/>
          <w:bCs/>
        </w:rPr>
        <w:t>security surface</w:t>
      </w:r>
      <w:r>
        <w:t xml:space="preserve"> (how many external endpoints and egress paths are in play), </w:t>
      </w:r>
      <w:r>
        <w:rPr>
          <w:b/>
          <w:bCs/>
        </w:rPr>
        <w:t>observability and guardrails</w:t>
      </w:r>
      <w:r>
        <w:t xml:space="preserve"> (the strength of tracing and protections, which reduce risk), and </w:t>
      </w:r>
      <w:r>
        <w:rPr>
          <w:b/>
          <w:bCs/>
        </w:rPr>
        <w:t>regulatory context</w:t>
      </w:r>
      <w:r>
        <w:t xml:space="preserve"> (domains such as HR or health that inherently raise obligations). We also recognize </w:t>
      </w:r>
      <w:r>
        <w:rPr>
          <w:b/>
          <w:bCs/>
        </w:rPr>
        <w:t>data amplifiers</w:t>
      </w:r>
      <w:r>
        <w:t xml:space="preserve"> like using many independent sources in a single task, or keeping raw identifiers in logs.</w:t>
      </w:r>
    </w:p>
    <w:p w14:paraId="05CB3274" w14:textId="77777777" w:rsidR="00DE7C0F" w:rsidRDefault="00000000">
      <w:pPr>
        <w:pStyle w:val="Heading2"/>
      </w:pPr>
      <w:bookmarkStart w:id="4" w:name="what-the-score-captures"/>
      <w:bookmarkEnd w:id="3"/>
      <w:r>
        <w:t>What the score captures</w:t>
      </w:r>
    </w:p>
    <w:p w14:paraId="2311FF19" w14:textId="77777777" w:rsidR="0045251F" w:rsidRDefault="00000000">
      <w:pPr>
        <w:pStyle w:val="FirstParagraph"/>
      </w:pPr>
      <w:r>
        <w:t xml:space="preserve">The framework captures two things at once: </w:t>
      </w:r>
    </w:p>
    <w:p w14:paraId="78BBAEF5" w14:textId="77777777" w:rsidR="0045251F" w:rsidRDefault="00000000">
      <w:pPr>
        <w:pStyle w:val="FirstParagraph"/>
      </w:pPr>
      <w:r>
        <w:t xml:space="preserve">1. </w:t>
      </w:r>
      <w:r>
        <w:rPr>
          <w:b/>
          <w:bCs/>
        </w:rPr>
        <w:t>Inherent risk</w:t>
      </w:r>
      <w:r>
        <w:t xml:space="preserve">, driven by Autonomy, Data, and Exposure. These are the structural properties of the use case: how free the agent is, what information it can touch, and who will see the results. </w:t>
      </w:r>
    </w:p>
    <w:p w14:paraId="5F5B34E6" w14:textId="76F4A6D3" w:rsidR="00DE7C0F" w:rsidRDefault="00000000">
      <w:pPr>
        <w:pStyle w:val="FirstParagraph"/>
      </w:pPr>
      <w:r>
        <w:t xml:space="preserve">2. </w:t>
      </w:r>
      <w:r>
        <w:rPr>
          <w:b/>
          <w:bCs/>
        </w:rPr>
        <w:t>Contextual adjustments</w:t>
      </w:r>
      <w:r>
        <w:t xml:space="preserve">, through modifiers. These reflect design decisions and operating conditions that make outcomes </w:t>
      </w:r>
      <w:proofErr w:type="gramStart"/>
      <w:r>
        <w:t>more or less predictable</w:t>
      </w:r>
      <w:proofErr w:type="gramEnd"/>
      <w:r w:rsidR="0045251F">
        <w:t xml:space="preserve">: </w:t>
      </w:r>
      <w:r>
        <w:t xml:space="preserve">tight caps and strong logging reduce </w:t>
      </w:r>
      <w:proofErr w:type="gramStart"/>
      <w:r>
        <w:t>uncertainty</w:t>
      </w:r>
      <w:r w:rsidR="0045251F">
        <w:t>,</w:t>
      </w:r>
      <w:proofErr w:type="gramEnd"/>
      <w:r w:rsidR="0045251F">
        <w:t xml:space="preserve"> </w:t>
      </w:r>
      <w:r>
        <w:t>broad egress and many sources increase it.</w:t>
      </w:r>
    </w:p>
    <w:p w14:paraId="49095490" w14:textId="470C6412" w:rsidR="00DE7C0F" w:rsidRDefault="00000000">
      <w:pPr>
        <w:pStyle w:val="Heading2"/>
      </w:pPr>
      <w:bookmarkStart w:id="5" w:name="X84479c4b35d4e5c3c91592a7f0815ac6e92f1c3"/>
      <w:bookmarkEnd w:id="4"/>
      <w:r>
        <w:t>How the risk is calculated</w:t>
      </w:r>
    </w:p>
    <w:p w14:paraId="05FDFF91" w14:textId="3DDB33A4" w:rsidR="00DE7C0F" w:rsidRDefault="00000000">
      <w:pPr>
        <w:pStyle w:val="FirstParagraph"/>
      </w:pPr>
      <w:r>
        <w:t>Each core dimension</w:t>
      </w:r>
      <w:r w:rsidR="0045251F">
        <w:t xml:space="preserve"> (</w:t>
      </w:r>
      <w:r>
        <w:t>Autonomy, Data, Exposure</w:t>
      </w:r>
      <w:r w:rsidR="0045251F">
        <w:t xml:space="preserve">) </w:t>
      </w:r>
      <w:r>
        <w:t xml:space="preserve">is evaluated on a simple three‑level scale (low, medium, high). </w:t>
      </w:r>
      <w:r w:rsidRPr="0045251F">
        <w:rPr>
          <w:b/>
          <w:bCs/>
        </w:rPr>
        <w:t>Autonomy</w:t>
      </w:r>
      <w:r>
        <w:t xml:space="preserve"> is derived from a handful of sub‑factors (planning breadth, tool privilege, looping, agent/tool count, and the counter‑weight of human oversight). </w:t>
      </w:r>
      <w:r w:rsidRPr="0045251F">
        <w:rPr>
          <w:b/>
          <w:bCs/>
        </w:rPr>
        <w:t>Data</w:t>
      </w:r>
      <w:r>
        <w:t xml:space="preserve"> is determined by separately judging PII sensitivity and corporate classification; the stricter of the two sets the overall data level. </w:t>
      </w:r>
      <w:r w:rsidRPr="0045251F">
        <w:rPr>
          <w:b/>
          <w:bCs/>
        </w:rPr>
        <w:t>Exposure</w:t>
      </w:r>
      <w:r>
        <w:t xml:space="preserve"> takes the highest relevant audience level and notes whether the blast radius makes outputs harder to retract.</w:t>
      </w:r>
    </w:p>
    <w:p w14:paraId="79B0D283" w14:textId="77777777" w:rsidR="0045251F" w:rsidRDefault="00000000">
      <w:pPr>
        <w:pStyle w:val="BodyText"/>
      </w:pPr>
      <w:r>
        <w:t xml:space="preserve">These three dimension levels form the </w:t>
      </w:r>
      <w:r>
        <w:rPr>
          <w:b/>
          <w:bCs/>
        </w:rPr>
        <w:t>base risk</w:t>
      </w:r>
      <w:r>
        <w:t xml:space="preserve">. We then adjust that base up or down with modifiers. Modifiers represent real‑world influences that either </w:t>
      </w:r>
      <w:r>
        <w:rPr>
          <w:b/>
          <w:bCs/>
        </w:rPr>
        <w:t>heighten unpredictability</w:t>
      </w:r>
      <w:r>
        <w:t xml:space="preserve"> (for example, open‑ended loops or many external endpoints) or </w:t>
      </w:r>
      <w:r>
        <w:rPr>
          <w:b/>
          <w:bCs/>
        </w:rPr>
        <w:t>add control</w:t>
      </w:r>
      <w:r>
        <w:t xml:space="preserve"> (for example, rich step‑level traces and enforced redaction). </w:t>
      </w:r>
    </w:p>
    <w:p w14:paraId="7C421CB0" w14:textId="52DB1108" w:rsidR="00DE7C0F" w:rsidRDefault="00000000">
      <w:pPr>
        <w:pStyle w:val="BodyText"/>
      </w:pPr>
      <w:r>
        <w:t>The adjusted result is mapped to clear decision bands</w:t>
      </w:r>
      <w:r w:rsidR="0045251F">
        <w:t xml:space="preserve">: </w:t>
      </w:r>
      <w:r>
        <w:rPr>
          <w:b/>
          <w:bCs/>
        </w:rPr>
        <w:t>Green</w:t>
      </w:r>
      <w:r>
        <w:t xml:space="preserve"> for standard controls, </w:t>
      </w:r>
      <w:r>
        <w:rPr>
          <w:b/>
          <w:bCs/>
        </w:rPr>
        <w:t>Amber</w:t>
      </w:r>
      <w:r>
        <w:t xml:space="preserve"> for tighter oversight and privacy reviews, </w:t>
      </w:r>
      <w:r>
        <w:rPr>
          <w:b/>
          <w:bCs/>
        </w:rPr>
        <w:t>Red</w:t>
      </w:r>
      <w:r>
        <w:t xml:space="preserve"> for sandboxing, formal testing, and executive sign‑off.</w:t>
      </w:r>
    </w:p>
    <w:p w14:paraId="0F5382ED" w14:textId="77777777" w:rsidR="00DE7C0F" w:rsidRDefault="00000000">
      <w:pPr>
        <w:pStyle w:val="Heading2"/>
      </w:pPr>
      <w:bookmarkStart w:id="6" w:name="why-this-works-for-readonly-agents"/>
      <w:bookmarkEnd w:id="5"/>
      <w:r>
        <w:lastRenderedPageBreak/>
        <w:t>Why this works for read‑only agents</w:t>
      </w:r>
    </w:p>
    <w:p w14:paraId="00688217" w14:textId="77777777" w:rsidR="0045251F" w:rsidRDefault="00000000" w:rsidP="0045251F">
      <w:pPr>
        <w:pStyle w:val="FirstParagraph"/>
      </w:pPr>
      <w:r>
        <w:t xml:space="preserve">Even without writes, agentic systems can: </w:t>
      </w:r>
    </w:p>
    <w:p w14:paraId="6DAFE0D8" w14:textId="77777777" w:rsidR="0045251F" w:rsidRDefault="00000000" w:rsidP="0045251F">
      <w:pPr>
        <w:pStyle w:val="FirstParagraph"/>
        <w:numPr>
          <w:ilvl w:val="0"/>
          <w:numId w:val="5"/>
        </w:numPr>
      </w:pPr>
      <w:r>
        <w:t xml:space="preserve">Aggregate or reveal information in ways users could not do previously. </w:t>
      </w:r>
    </w:p>
    <w:p w14:paraId="36E01D0D" w14:textId="77777777" w:rsidR="0045251F" w:rsidRDefault="00000000" w:rsidP="0045251F">
      <w:pPr>
        <w:pStyle w:val="FirstParagraph"/>
        <w:numPr>
          <w:ilvl w:val="0"/>
          <w:numId w:val="5"/>
        </w:numPr>
      </w:pPr>
      <w:r>
        <w:t xml:space="preserve">Generate large and variable processing costs by chaining tools and expanding contexts. </w:t>
      </w:r>
    </w:p>
    <w:p w14:paraId="11D282A9" w14:textId="08621C30" w:rsidR="00DE7C0F" w:rsidRDefault="00000000" w:rsidP="0045251F">
      <w:pPr>
        <w:pStyle w:val="FirstParagraph"/>
        <w:numPr>
          <w:ilvl w:val="0"/>
          <w:numId w:val="5"/>
        </w:numPr>
      </w:pPr>
      <w:r>
        <w:t>Amplify small design oversights (for example, a permissive connector) into material incidents at customer scale.</w:t>
      </w:r>
    </w:p>
    <w:p w14:paraId="53EB4896" w14:textId="77777777" w:rsidR="00DE7C0F" w:rsidRDefault="00000000">
      <w:pPr>
        <w:pStyle w:val="BodyText"/>
      </w:pPr>
      <w:r>
        <w:t>The scoring distills those realities into a common language so architecture, security, privacy, and product can agree on the safeguards required before moving forward.</w:t>
      </w:r>
    </w:p>
    <w:p w14:paraId="044C8F5E" w14:textId="77777777" w:rsidR="00DE7C0F" w:rsidRDefault="00000000">
      <w:pPr>
        <w:pStyle w:val="Heading2"/>
      </w:pPr>
      <w:bookmarkStart w:id="7" w:name="using-the-worksheet"/>
      <w:bookmarkEnd w:id="6"/>
      <w:r>
        <w:t>Using the worksheet</w:t>
      </w:r>
    </w:p>
    <w:p w14:paraId="0824B9B5" w14:textId="77777777" w:rsidR="00DE7C0F" w:rsidRDefault="00000000">
      <w:pPr>
        <w:pStyle w:val="FirstParagraph"/>
      </w:pPr>
      <w:r>
        <w:t>The worksheet pairs each concept here with a specific field to capture your assessment and shows, step by step, how the final band is determined. It also records the rationale for each choice so that risk decisions remain auditable over time.</w:t>
      </w:r>
      <w:bookmarkEnd w:id="0"/>
      <w:bookmarkEnd w:id="7"/>
    </w:p>
    <w:sectPr w:rsidR="00DE7C0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167B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C344B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A24E5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6EC2865"/>
    <w:multiLevelType w:val="hybridMultilevel"/>
    <w:tmpl w:val="D1BA6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CA908C2"/>
    <w:multiLevelType w:val="hybridMultilevel"/>
    <w:tmpl w:val="63647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2069888">
    <w:abstractNumId w:val="0"/>
  </w:num>
  <w:num w:numId="2" w16cid:durableId="6252836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961072">
    <w:abstractNumId w:val="1"/>
  </w:num>
  <w:num w:numId="4" w16cid:durableId="1328287246">
    <w:abstractNumId w:val="4"/>
  </w:num>
  <w:num w:numId="5" w16cid:durableId="464127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E7C0F"/>
    <w:rsid w:val="00240E9F"/>
    <w:rsid w:val="0045251F"/>
    <w:rsid w:val="00615666"/>
    <w:rsid w:val="00DE7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B5DDEE"/>
  <w15:docId w15:val="{CE3BA639-1F08-FC4E-AB90-199123BF5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838</Words>
  <Characters>4779</Characters>
  <Application>Microsoft Office Word</Application>
  <DocSecurity>0</DocSecurity>
  <Lines>39</Lines>
  <Paragraphs>11</Paragraphs>
  <ScaleCrop>false</ScaleCrop>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Jan Uyttenhove</cp:lastModifiedBy>
  <cp:revision>3</cp:revision>
  <dcterms:created xsi:type="dcterms:W3CDTF">2025-11-05T22:33:00Z</dcterms:created>
  <dcterms:modified xsi:type="dcterms:W3CDTF">2025-11-05T22:40:00Z</dcterms:modified>
</cp:coreProperties>
</file>