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280" w:lineRule="auto"/>
      </w:pPr>
      <w:r>
        <w:rPr>
          <w:b/>
          <w:color w:val="1F4E79"/>
          <w:sz w:val="20"/>
          <w:szCs w:val="20"/>
        </w:rPr>
        <w:t>Pilot Proposal Cost Note</w:t>
      </w:r>
    </w:p>
    <w:p>
      <w:pPr>
        <w:pStyle w:val="Title"/>
      </w:pPr>
      <w:r>
        <w:t>Electrician Loyalty QR Platform</w:t>
      </w:r>
    </w:p>
    <w:p>
      <w:pPr>
        <w:pStyle w:val="Subtitle"/>
        <w:spacing w:after="240" w:line="280" w:lineRule="auto"/>
      </w:pPr>
      <w:r>
        <w:t>Pilot scope, delivery timeline, recommended tools/services, and client-borne cost breakdown for the electrical retailer loyalty app.</w:t>
      </w:r>
    </w:p>
    <w:tbl>
      <w:tblPr>
        <w:tblW w:w="100%" w:type="pct"/>
        <w:tblBorders>
          <w:top w:val="single" w:sz="6" w:space="0" w:color="CFD8E3"/>
          <w:left w:val="single" w:sz="6" w:space="0" w:color="CFD8E3"/>
          <w:bottom w:val="single" w:sz="6" w:space="0" w:color="CFD8E3"/>
          <w:right w:val="single" w:sz="6" w:space="0" w:color="CFD8E3"/>
          <w:insideH w:val="single" w:sz="6" w:space="0" w:color="CFD8E3"/>
          <w:insideV w:val="single" w:sz="6" w:space="0" w:color="CFD8E3"/>
        </w:tblBorders>
        <w:tblCellMar>
          <w:top w:w="80" w:type="dxa"/>
          <w:left w:w="120" w:type="dxa"/>
          <w:bottom w:w="80" w:type="dxa"/>
          <w:right w:w="120" w:type="dxa"/>
        </w:tblCellMar>
      </w:tblPr>
      <w:tblGrid>
        <w:gridCol w:w="2523"/>
        <w:gridCol w:w="2523"/>
        <w:gridCol w:w="2018"/>
        <w:gridCol w:w="3028"/>
      </w:tblGrid>
      <w:tr>
        <w:tc>
          <w:tcPr>
            <w:tcW w:w="2523" w:type="dxa"/>
            <w:tcMar>
              <w:top w:w="90" w:type="dxa"/>
              <w:left w:w="120" w:type="dxa"/>
              <w:bottom w:w="90" w:type="dxa"/>
              <w:right w:w="120" w:type="dxa"/>
            </w:tcMar>
            <w:shd w:fill="E8EEF5"/>
          </w:tcPr>
          <w:p>
            <w:pPr>
              <w:spacing w:after="0" w:line="280" w:lineRule="auto"/>
            </w:pPr>
            <w:r>
              <w:rPr>
                <w:b/>
              </w:rPr>
              <w:t>Prepared for</w:t>
            </w:r>
          </w:p>
        </w:tc>
        <w:tc>
          <w:tcPr>
            <w:tcW w:w="2523" w:type="dxa"/>
            <w:tcMar>
              <w:top w:w="90" w:type="dxa"/>
              <w:left w:w="120" w:type="dxa"/>
              <w:bottom w:w="90" w:type="dxa"/>
              <w:right w:w="120" w:type="dxa"/>
            </w:tcMar>
            <w:shd w:fill="E8EEF5"/>
          </w:tcPr>
          <w:p>
            <w:pPr>
              <w:spacing w:after="0" w:line="280" w:lineRule="auto"/>
            </w:pPr>
            <w:r>
              <w:rPr>
                <w:b/>
              </w:rPr>
              <w:t>Prepared on</w:t>
            </w:r>
          </w:p>
        </w:tc>
        <w:tc>
          <w:tcPr>
            <w:tcW w:w="2018" w:type="dxa"/>
            <w:tcMar>
              <w:top w:w="90" w:type="dxa"/>
              <w:left w:w="120" w:type="dxa"/>
              <w:bottom w:w="90" w:type="dxa"/>
              <w:right w:w="120" w:type="dxa"/>
            </w:tcMar>
            <w:shd w:fill="E8EEF5"/>
          </w:tcPr>
          <w:p>
            <w:pPr>
              <w:spacing w:after="0" w:line="280" w:lineRule="auto"/>
            </w:pPr>
            <w:r>
              <w:rPr>
                <w:b/>
              </w:rPr>
              <w:t>Pilot duration</w:t>
            </w:r>
          </w:p>
        </w:tc>
        <w:tc>
          <w:tcPr>
            <w:tcW w:w="3028" w:type="dxa"/>
            <w:tcMar>
              <w:top w:w="90" w:type="dxa"/>
              <w:left w:w="120" w:type="dxa"/>
              <w:bottom w:w="90" w:type="dxa"/>
              <w:right w:w="120" w:type="dxa"/>
            </w:tcMar>
            <w:shd w:fill="E8EEF5"/>
          </w:tcPr>
          <w:p>
            <w:pPr>
              <w:spacing w:after="0" w:line="280" w:lineRule="auto"/>
            </w:pPr>
            <w:r>
              <w:rPr>
                <w:b/>
              </w:rPr>
              <w:t>Pilot users</w:t>
            </w:r>
          </w:p>
        </w:tc>
      </w:tr>
      <w:tr>
        <w:tc>
          <w:tcPr>
            <w:tcW w:w="2523" w:type="dxa"/>
            <w:tcMar>
              <w:top w:w="90" w:type="dxa"/>
              <w:left w:w="120" w:type="dxa"/>
              <w:bottom w:w="90" w:type="dxa"/>
              <w:right w:w="120" w:type="dxa"/>
            </w:tcMar>
          </w:tcPr>
          <w:p>
            <w:pPr>
              <w:spacing w:after="0" w:line="280" w:lineRule="auto"/>
            </w:pPr>
            <w:r>
              <w:t>Client discussion</w:t>
            </w:r>
          </w:p>
        </w:tc>
        <w:tc>
          <w:tcPr>
            <w:tcW w:w="2523" w:type="dxa"/>
            <w:tcMar>
              <w:top w:w="90" w:type="dxa"/>
              <w:left w:w="120" w:type="dxa"/>
              <w:bottom w:w="90" w:type="dxa"/>
              <w:right w:w="120" w:type="dxa"/>
            </w:tcMar>
          </w:tcPr>
          <w:p>
            <w:pPr>
              <w:spacing w:after="0" w:line="280" w:lineRule="auto"/>
            </w:pPr>
            <w:r>
              <w:t>04 June 2026</w:t>
            </w:r>
          </w:p>
        </w:tc>
        <w:tc>
          <w:tcPr>
            <w:tcW w:w="2018" w:type="dxa"/>
            <w:tcMar>
              <w:top w:w="90" w:type="dxa"/>
              <w:left w:w="120" w:type="dxa"/>
              <w:bottom w:w="90" w:type="dxa"/>
              <w:right w:w="120" w:type="dxa"/>
            </w:tcMar>
          </w:tcPr>
          <w:p>
            <w:pPr>
              <w:spacing w:after="0" w:line="280" w:lineRule="auto"/>
            </w:pPr>
            <w:r>
              <w:t>6 weeks</w:t>
            </w:r>
          </w:p>
        </w:tc>
        <w:tc>
          <w:tcPr>
            <w:tcW w:w="3028" w:type="dxa"/>
            <w:tcMar>
              <w:top w:w="90" w:type="dxa"/>
              <w:left w:w="120" w:type="dxa"/>
              <w:bottom w:w="90" w:type="dxa"/>
              <w:right w:w="120" w:type="dxa"/>
            </w:tcMar>
          </w:tcPr>
          <w:p>
            <w:pPr>
              <w:spacing w:after="0" w:line="280" w:lineRule="auto"/>
            </w:pPr>
            <w:r>
              <w:t>5 electricians + admin/operator staff</w:t>
            </w:r>
          </w:p>
        </w:tc>
      </w:tr>
    </w:tbl>
    <w:p>
      <w:pPr>
        <w:spacing w:after="80" w:line="280" w:lineRule="auto"/>
      </w:pPr>
      <w:r>
        <w:t/>
      </w:r>
    </w:p>
    <w:p>
      <w:pPr>
        <w:pStyle w:val="Heading1"/>
        <w:keepNext/>
      </w:pPr>
      <w:r>
        <w:t>1. Executive Summary</w:t>
      </w:r>
    </w:p>
    <w:p>
      <w:r>
        <w:t>The pilot will test a full loyalty workflow where the retailer prints secure QR labels for individual invoiced products, electricians scan those labels from a native Android app, and the retailer tracks point credit, history, return reversals, and basic redemption readiness from an admin panel.</w:t>
      </w:r>
    </w:p>
    <w:tbl>
      <w:tblPr>
        <w:tblW w:w="100%" w:type="pct"/>
        <w:tblBorders>
          <w:top w:val="single" w:sz="6" w:space="0" w:color="CFD8E3"/>
          <w:left w:val="single" w:sz="6" w:space="0" w:color="CFD8E3"/>
          <w:bottom w:val="single" w:sz="6" w:space="0" w:color="CFD8E3"/>
          <w:right w:val="single" w:sz="6" w:space="0" w:color="CFD8E3"/>
          <w:insideH w:val="single" w:sz="6" w:space="0" w:color="CFD8E3"/>
          <w:insideV w:val="single" w:sz="6" w:space="0" w:color="CFD8E3"/>
        </w:tblBorders>
        <w:tblCellMar>
          <w:top w:w="80" w:type="dxa"/>
          <w:left w:w="120" w:type="dxa"/>
          <w:bottom w:w="80" w:type="dxa"/>
          <w:right w:w="120" w:type="dxa"/>
        </w:tblCellMar>
      </w:tblPr>
      <w:tblGrid>
        <w:gridCol w:w="3330"/>
        <w:gridCol w:w="3431"/>
        <w:gridCol w:w="3331"/>
      </w:tblGrid>
      <w:tr>
        <w:tc>
          <w:tcPr>
            <w:tcW w:w="3330" w:type="dxa"/>
            <w:tcMar>
              <w:top w:w="90" w:type="dxa"/>
              <w:left w:w="120" w:type="dxa"/>
              <w:bottom w:w="90" w:type="dxa"/>
              <w:right w:w="120" w:type="dxa"/>
            </w:tcMar>
            <w:shd w:fill="E8EEF5"/>
          </w:tcPr>
          <w:p>
            <w:pPr>
              <w:spacing w:after="0" w:line="280" w:lineRule="auto"/>
            </w:pPr>
            <w:r>
              <w:rPr>
                <w:b/>
              </w:rPr>
              <w:t>Development charge</w:t>
            </w:r>
          </w:p>
        </w:tc>
        <w:tc>
          <w:tcPr>
            <w:tcW w:w="3431" w:type="dxa"/>
            <w:tcMar>
              <w:top w:w="90" w:type="dxa"/>
              <w:left w:w="120" w:type="dxa"/>
              <w:bottom w:w="90" w:type="dxa"/>
              <w:right w:w="120" w:type="dxa"/>
            </w:tcMar>
            <w:shd w:fill="E8EEF5"/>
          </w:tcPr>
          <w:p>
            <w:pPr>
              <w:spacing w:after="0" w:line="280" w:lineRule="auto"/>
            </w:pPr>
            <w:r>
              <w:rPr>
                <w:b/>
              </w:rPr>
              <w:t>Client-borne pilot setup/operating costs*</w:t>
            </w:r>
          </w:p>
        </w:tc>
        <w:tc>
          <w:tcPr>
            <w:tcW w:w="3331" w:type="dxa"/>
            <w:tcMar>
              <w:top w:w="90" w:type="dxa"/>
              <w:left w:w="120" w:type="dxa"/>
              <w:bottom w:w="90" w:type="dxa"/>
              <w:right w:w="120" w:type="dxa"/>
            </w:tcMar>
            <w:shd w:fill="E8EEF5"/>
          </w:tcPr>
          <w:p>
            <w:pPr>
              <w:spacing w:after="0" w:line="280" w:lineRule="auto"/>
            </w:pPr>
            <w:r>
              <w:rPr>
                <w:b/>
              </w:rPr>
              <w:t>Practical total pilot budget range*</w:t>
            </w:r>
          </w:p>
        </w:tc>
      </w:tr>
      <w:tr>
        <w:tc>
          <w:tcPr>
            <w:tcW w:w="3330" w:type="dxa"/>
            <w:tcMar>
              <w:top w:w="90" w:type="dxa"/>
              <w:left w:w="120" w:type="dxa"/>
              <w:bottom w:w="90" w:type="dxa"/>
              <w:right w:w="120" w:type="dxa"/>
            </w:tcMar>
          </w:tcPr>
          <w:p>
            <w:pPr>
              <w:spacing w:after="0" w:line="280" w:lineRule="auto"/>
            </w:pPr>
            <w:r>
              <w:t>₹1,00,000</w:t>
            </w:r>
          </w:p>
        </w:tc>
        <w:tc>
          <w:tcPr>
            <w:tcW w:w="3431" w:type="dxa"/>
            <w:tcMar>
              <w:top w:w="90" w:type="dxa"/>
              <w:left w:w="120" w:type="dxa"/>
              <w:bottom w:w="90" w:type="dxa"/>
              <w:right w:w="120" w:type="dxa"/>
            </w:tcMar>
          </w:tcPr>
          <w:p>
            <w:pPr>
              <w:spacing w:after="0" w:line="280" w:lineRule="auto"/>
            </w:pPr>
            <w:r>
              <w:t>₹18,500-₹27,500</w:t>
            </w:r>
          </w:p>
        </w:tc>
        <w:tc>
          <w:tcPr>
            <w:tcW w:w="3331" w:type="dxa"/>
            <w:tcMar>
              <w:top w:w="90" w:type="dxa"/>
              <w:left w:w="120" w:type="dxa"/>
              <w:bottom w:w="90" w:type="dxa"/>
              <w:right w:w="120" w:type="dxa"/>
            </w:tcMar>
          </w:tcPr>
          <w:p>
            <w:pPr>
              <w:spacing w:after="0" w:line="280" w:lineRule="auto"/>
            </w:pPr>
            <w:r>
              <w:t>₹1.2L-₹1.3L</w:t>
            </w:r>
          </w:p>
        </w:tc>
      </w:tr>
    </w:tbl>
    <w:p>
      <w:pPr>
        <w:spacing w:after="80" w:line="280" w:lineRule="auto"/>
      </w:pPr>
      <w:r>
        <w:t/>
      </w:r>
    </w:p>
    <w:tbl>
      <w:tblPr>
        <w:tblW w:w="100%" w:type="pct"/>
        <w:tblBorders>
          <w:left w:val="single" w:sz="20" w:space="0" w:color="1F4E79"/>
          <w:top w:val="single" w:sz="2" w:space="0" w:color="F3F7FB"/>
          <w:bottom w:val="single" w:sz="2" w:space="0" w:color="F3F7FB"/>
          <w:right w:val="single" w:sz="2" w:space="0" w:color="F3F7FB"/>
        </w:tblBorders>
      </w:tblPr>
      <w:tblGrid>
        <w:gridCol w:w="10092"/>
      </w:tblGrid>
      <w:tr>
        <w:tc>
          <w:tcPr>
            <w:tcW w:w="10092" w:type="dxa"/>
            <w:shd w:fill="F3F7FB"/>
            <w:tcMar>
              <w:top w:w="160" w:type="dxa"/>
              <w:left w:w="200" w:type="dxa"/>
              <w:bottom w:w="160" w:type="dxa"/>
              <w:right w:w="200" w:type="dxa"/>
            </w:tcMar>
          </w:tcPr>
          <w:p>
            <w:pPr>
              <w:spacing w:after="0" w:line="280" w:lineRule="auto"/>
            </w:pPr>
            <w:r>
              <w:t>Important: QR codes will not be printed inside the BUSY invoice. BUSY will continue to print the invoice normally. Staff will select the latest BUSY invoice in the admin panel and click Print QR Labels to print one QR label per invoiced product unit on a separate QR label printer.</w:t>
            </w:r>
          </w:p>
        </w:tc>
      </w:tr>
    </w:tbl>
    <w:p>
      <w:pPr>
        <w:spacing w:after="120" w:line="280" w:lineRule="auto"/>
      </w:pPr>
      <w:r>
        <w:t/>
      </w:r>
    </w:p>
    <w:p>
      <w:pPr>
        <w:pStyle w:val="Heading1"/>
        <w:keepNext/>
      </w:pPr>
      <w:r>
        <w:t>2. Pilot Scope</w:t>
      </w:r>
    </w:p>
    <w:p>
      <w:pPr>
        <w:pStyle w:val="Heading2"/>
        <w:keepNext/>
      </w:pPr>
      <w:r>
        <w:t>Included In Pilot</w:t>
      </w:r>
    </w:p>
    <w:p>
      <w:pPr>
        <w:spacing w:after="80" w:line="280" w:lineRule="auto"/>
        <w:numPr>
          <w:ilvl w:val="0"/>
          <w:numId w:val="1"/>
        </w:numPr>
      </w:pPr>
      <w:r>
        <w:t>Native Android electrician app distributed as direct APK/internal testing build.</w:t>
      </w:r>
    </w:p>
    <w:p>
      <w:pPr>
        <w:spacing w:after="80" w:line="280" w:lineRule="auto"/>
        <w:numPr>
          <w:ilvl w:val="0"/>
          <w:numId w:val="1"/>
        </w:numPr>
      </w:pPr>
      <w:r>
        <w:t>OTP login for admin-registered electricians only.</w:t>
      </w:r>
    </w:p>
    <w:p>
      <w:pPr>
        <w:spacing w:after="80" w:line="280" w:lineRule="auto"/>
        <w:numPr>
          <w:ilvl w:val="0"/>
          <w:numId w:val="1"/>
        </w:numPr>
      </w:pPr>
      <w:r>
        <w:t>Bottom navigation in electrician app: Home, Scan, History, Redeem.</w:t>
      </w:r>
    </w:p>
    <w:p>
      <w:pPr>
        <w:spacing w:after="80" w:line="280" w:lineRule="auto"/>
        <w:numPr>
          <w:ilvl w:val="0"/>
          <w:numId w:val="1"/>
        </w:numPr>
      </w:pPr>
      <w:r>
        <w:t>Bronze/Silver/Gold virtual tier display.</w:t>
      </w:r>
    </w:p>
    <w:p>
      <w:pPr>
        <w:spacing w:after="80" w:line="280" w:lineRule="auto"/>
        <w:numPr>
          <w:ilvl w:val="0"/>
          <w:numId w:val="1"/>
        </w:numPr>
      </w:pPr>
      <w:r>
        <w:t>PIN-style protection for redemption and total accumulated points.</w:t>
      </w:r>
    </w:p>
    <w:p>
      <w:pPr>
        <w:spacing w:after="80" w:line="280" w:lineRule="auto"/>
        <w:numPr>
          <w:ilvl w:val="0"/>
          <w:numId w:val="1"/>
        </w:numPr>
      </w:pPr>
      <w:r>
        <w:t>Admin web panel for electrician registration, SKU/category setup, point rules, BUSY invoice selection, QR label printing, returns, and reporting.</w:t>
      </w:r>
    </w:p>
    <w:p>
      <w:pPr>
        <w:spacing w:after="80" w:line="280" w:lineRule="auto"/>
        <w:numPr>
          <w:ilvl w:val="0"/>
          <w:numId w:val="1"/>
        </w:numPr>
      </w:pPr>
      <w:r>
        <w:t>BUSY invoice integration based on client-provided SQL/API access.</w:t>
      </w:r>
    </w:p>
    <w:p>
      <w:pPr>
        <w:spacing w:after="80" w:line="280" w:lineRule="auto"/>
        <w:numPr>
          <w:ilvl w:val="0"/>
          <w:numId w:val="1"/>
        </w:numPr>
      </w:pPr>
      <w:r>
        <w:t>One secure QR label per invoiced product unit for the pilot category.</w:t>
      </w:r>
    </w:p>
    <w:p>
      <w:pPr>
        <w:spacing w:after="80" w:line="280" w:lineRule="auto"/>
        <w:numPr>
          <w:ilvl w:val="0"/>
          <w:numId w:val="1"/>
        </w:numPr>
      </w:pPr>
      <w:r>
        <w:t>QR expiry, one-time redemption, duplicate scan prevention, and return reversal ledger.</w:t>
      </w:r>
    </w:p>
    <w:p>
      <w:pPr>
        <w:pStyle w:val="Heading2"/>
        <w:keepNext/>
      </w:pPr>
      <w:r>
        <w:t>Outside Pilot Scope</w:t>
      </w:r>
    </w:p>
    <w:p>
      <w:pPr>
        <w:spacing w:after="80" w:line="280" w:lineRule="auto"/>
        <w:numPr>
          <w:ilvl w:val="0"/>
          <w:numId w:val="1"/>
        </w:numPr>
      </w:pPr>
      <w:r>
        <w:t>Play Store publication. The pilot uses APK/internal testing distribution.</w:t>
      </w:r>
    </w:p>
    <w:p>
      <w:pPr>
        <w:spacing w:after="80" w:line="280" w:lineRule="auto"/>
        <w:numPr>
          <w:ilvl w:val="0"/>
          <w:numId w:val="1"/>
        </w:numPr>
      </w:pPr>
      <w:r>
        <w:t>QR code placement inside the BUSY invoice layout.</w:t>
      </w:r>
    </w:p>
    <w:p>
      <w:pPr>
        <w:spacing w:after="80" w:line="280" w:lineRule="auto"/>
        <w:numPr>
          <w:ilvl w:val="0"/>
          <w:numId w:val="1"/>
        </w:numPr>
      </w:pPr>
      <w:r>
        <w:t>Fully automatic QR printing directly triggered by BUSY invoice print action.</w:t>
      </w:r>
    </w:p>
    <w:p>
      <w:pPr>
        <w:spacing w:after="80" w:line="280" w:lineRule="auto"/>
        <w:numPr>
          <w:ilvl w:val="0"/>
          <w:numId w:val="1"/>
        </w:numPr>
      </w:pPr>
      <w:r>
        <w:t>Multiple product categories beyond Wires.</w:t>
      </w:r>
    </w:p>
    <w:p>
      <w:pPr>
        <w:spacing w:after="80" w:line="280" w:lineRule="auto"/>
        <w:numPr>
          <w:ilvl w:val="0"/>
          <w:numId w:val="1"/>
        </w:numPr>
      </w:pPr>
      <w:r>
        <w:t>Fully automated UPI/bank payout workflow.</w:t>
      </w:r>
    </w:p>
    <w:p>
      <w:pPr>
        <w:spacing w:after="80" w:line="280" w:lineRule="auto"/>
        <w:numPr>
          <w:ilvl w:val="0"/>
          <w:numId w:val="1"/>
        </w:numPr>
      </w:pPr>
      <w:r>
        <w:t>Advanced fraud analytics, distributor-level reporting, or large-scale production rollout.</w:t>
      </w:r>
    </w:p>
    <w:p>
      <w:pPr>
        <w:pStyle w:val="Heading1"/>
        <w:keepNext/>
      </w:pPr>
      <w:r>
        <w:t>3. Pilot Workflow</w:t>
      </w:r>
    </w:p>
    <w:p>
      <w:pPr>
        <w:spacing w:after="80" w:line="280" w:lineRule="auto"/>
        <w:numPr>
          <w:ilvl w:val="0"/>
          <w:numId w:val="2"/>
        </w:numPr>
      </w:pPr>
      <w:r>
        <w:t>Retailer creates an invoice in BUSY accounting software.</w:t>
      </w:r>
    </w:p>
    <w:p>
      <w:pPr>
        <w:spacing w:after="80" w:line="280" w:lineRule="auto"/>
        <w:numPr>
          <w:ilvl w:val="0"/>
          <w:numId w:val="2"/>
        </w:numPr>
      </w:pPr>
      <w:r>
        <w:t>BUSY prints the normal invoice.</w:t>
      </w:r>
    </w:p>
    <w:p>
      <w:pPr>
        <w:spacing w:after="80" w:line="280" w:lineRule="auto"/>
        <w:numPr>
          <w:ilvl w:val="0"/>
          <w:numId w:val="2"/>
        </w:numPr>
      </w:pPr>
      <w:r>
        <w:t>Retailer staff opens the loyalty admin panel.</w:t>
      </w:r>
    </w:p>
    <w:p>
      <w:pPr>
        <w:spacing w:after="80" w:line="280" w:lineRule="auto"/>
        <w:numPr>
          <w:ilvl w:val="0"/>
          <w:numId w:val="2"/>
        </w:numPr>
      </w:pPr>
      <w:r>
        <w:t>Staff selects the latest BUSY invoice and clicks Print QR Labels.</w:t>
      </w:r>
    </w:p>
    <w:p>
      <w:pPr>
        <w:spacing w:after="80" w:line="280" w:lineRule="auto"/>
        <w:numPr>
          <w:ilvl w:val="0"/>
          <w:numId w:val="2"/>
        </w:numPr>
      </w:pPr>
      <w:r>
        <w:t>System reads invoice item data from BUSY SQL/API access.</w:t>
      </w:r>
    </w:p>
    <w:p>
      <w:pPr>
        <w:spacing w:after="80" w:line="280" w:lineRule="auto"/>
        <w:numPr>
          <w:ilvl w:val="0"/>
          <w:numId w:val="2"/>
        </w:numPr>
      </w:pPr>
      <w:r>
        <w:t>System generates one secure QR label per product unit in that invoice.</w:t>
      </w:r>
    </w:p>
    <w:p>
      <w:pPr>
        <w:spacing w:after="80" w:line="280" w:lineRule="auto"/>
        <w:numPr>
          <w:ilvl w:val="0"/>
          <w:numId w:val="2"/>
        </w:numPr>
      </w:pPr>
      <w:r>
        <w:t>QR labels are printed on a separate label printer and stuck on the products.</w:t>
      </w:r>
    </w:p>
    <w:p>
      <w:pPr>
        <w:spacing w:after="80" w:line="280" w:lineRule="auto"/>
        <w:numPr>
          <w:ilvl w:val="0"/>
          <w:numId w:val="2"/>
        </w:numPr>
      </w:pPr>
      <w:r>
        <w:t>Registered electricians scan labels in the Android app to collect points.</w:t>
      </w:r>
    </w:p>
    <w:p>
      <w:pPr>
        <w:spacing w:after="80" w:line="280" w:lineRule="auto"/>
        <w:numPr>
          <w:ilvl w:val="0"/>
          <w:numId w:val="2"/>
        </w:numPr>
      </w:pPr>
      <w:r>
        <w:t>Admin can scan returned material labels to reverse points where applicable.</w:t>
      </w:r>
    </w:p>
    <w:p>
      <w:pPr>
        <w:pStyle w:val="Heading1"/>
        <w:keepNext/>
      </w:pPr>
      <w:r>
        <w:t>4. Delivery Timeline</w:t>
      </w:r>
    </w:p>
    <w:tbl>
      <w:tblPr>
        <w:tblW w:w="100%" w:type="pct"/>
        <w:tblBorders>
          <w:top w:val="single" w:sz="6" w:space="0" w:color="CFD8E3"/>
          <w:left w:val="single" w:sz="6" w:space="0" w:color="CFD8E3"/>
          <w:bottom w:val="single" w:sz="6" w:space="0" w:color="CFD8E3"/>
          <w:right w:val="single" w:sz="6" w:space="0" w:color="CFD8E3"/>
          <w:insideH w:val="single" w:sz="6" w:space="0" w:color="CFD8E3"/>
          <w:insideV w:val="single" w:sz="6" w:space="0" w:color="CFD8E3"/>
        </w:tblBorders>
        <w:tblCellMar>
          <w:top w:w="80" w:type="dxa"/>
          <w:left w:w="120" w:type="dxa"/>
          <w:bottom w:w="80" w:type="dxa"/>
          <w:right w:w="120" w:type="dxa"/>
        </w:tblCellMar>
      </w:tblPr>
      <w:tblGrid>
        <w:gridCol w:w="1311"/>
        <w:gridCol w:w="2825"/>
        <w:gridCol w:w="4339"/>
        <w:gridCol w:w="1617"/>
      </w:tblGrid>
      <w:tr>
        <w:tc>
          <w:tcPr>
            <w:tcW w:w="1311" w:type="dxa"/>
            <w:tcMar>
              <w:top w:w="90" w:type="dxa"/>
              <w:left w:w="120" w:type="dxa"/>
              <w:bottom w:w="90" w:type="dxa"/>
              <w:right w:w="120" w:type="dxa"/>
            </w:tcMar>
            <w:shd w:fill="E8EEF5"/>
          </w:tcPr>
          <w:p>
            <w:pPr>
              <w:spacing w:after="0" w:line="280" w:lineRule="auto"/>
            </w:pPr>
            <w:r>
              <w:rPr>
                <w:b/>
              </w:rPr>
              <w:t>Week</w:t>
            </w:r>
          </w:p>
        </w:tc>
        <w:tc>
          <w:tcPr>
            <w:tcW w:w="2825" w:type="dxa"/>
            <w:tcMar>
              <w:top w:w="90" w:type="dxa"/>
              <w:left w:w="120" w:type="dxa"/>
              <w:bottom w:w="90" w:type="dxa"/>
              <w:right w:w="120" w:type="dxa"/>
            </w:tcMar>
            <w:shd w:fill="E8EEF5"/>
          </w:tcPr>
          <w:p>
            <w:pPr>
              <w:spacing w:after="0" w:line="280" w:lineRule="auto"/>
            </w:pPr>
            <w:r>
              <w:rPr>
                <w:b/>
              </w:rPr>
              <w:t>Focus</w:t>
            </w:r>
          </w:p>
        </w:tc>
        <w:tc>
          <w:tcPr>
            <w:tcW w:w="4339" w:type="dxa"/>
            <w:tcMar>
              <w:top w:w="90" w:type="dxa"/>
              <w:left w:w="120" w:type="dxa"/>
              <w:bottom w:w="90" w:type="dxa"/>
              <w:right w:w="120" w:type="dxa"/>
            </w:tcMar>
            <w:shd w:fill="E8EEF5"/>
          </w:tcPr>
          <w:p>
            <w:pPr>
              <w:spacing w:after="0" w:line="280" w:lineRule="auto"/>
            </w:pPr>
            <w:r>
              <w:rPr>
                <w:b/>
              </w:rPr>
              <w:t>Key Deliverables</w:t>
            </w:r>
          </w:p>
        </w:tc>
        <w:tc>
          <w:tcPr>
            <w:tcW w:w="1617" w:type="dxa"/>
            <w:tcMar>
              <w:top w:w="90" w:type="dxa"/>
              <w:left w:w="120" w:type="dxa"/>
              <w:bottom w:w="90" w:type="dxa"/>
              <w:right w:w="120" w:type="dxa"/>
            </w:tcMar>
            <w:shd w:fill="E8EEF5"/>
          </w:tcPr>
          <w:p>
            <w:pPr>
              <w:spacing w:after="0" w:line="280" w:lineRule="auto"/>
            </w:pPr>
            <w:r>
              <w:rPr>
                <w:b/>
              </w:rPr>
              <w:t>Status Gate</w:t>
            </w:r>
          </w:p>
        </w:tc>
      </w:tr>
      <w:tr>
        <w:tc>
          <w:tcPr>
            <w:tcW w:w="1311" w:type="dxa"/>
            <w:tcMar>
              <w:top w:w="90" w:type="dxa"/>
              <w:left w:w="120" w:type="dxa"/>
              <w:bottom w:w="90" w:type="dxa"/>
              <w:right w:w="120" w:type="dxa"/>
            </w:tcMar>
          </w:tcPr>
          <w:p>
            <w:pPr>
              <w:spacing w:after="0" w:line="280" w:lineRule="auto"/>
            </w:pPr>
            <w:r>
              <w:t>Week 1</w:t>
            </w:r>
          </w:p>
        </w:tc>
        <w:tc>
          <w:tcPr>
            <w:tcW w:w="2825" w:type="dxa"/>
            <w:tcMar>
              <w:top w:w="90" w:type="dxa"/>
              <w:left w:w="120" w:type="dxa"/>
              <w:bottom w:w="90" w:type="dxa"/>
              <w:right w:w="120" w:type="dxa"/>
            </w:tcMar>
          </w:tcPr>
          <w:p>
            <w:pPr>
              <w:spacing w:after="0" w:line="280" w:lineRule="auto"/>
            </w:pPr>
            <w:r>
              <w:t>Final scope lock and technical setup</w:t>
            </w:r>
          </w:p>
        </w:tc>
        <w:tc>
          <w:tcPr>
            <w:tcW w:w="4339" w:type="dxa"/>
            <w:tcMar>
              <w:top w:w="90" w:type="dxa"/>
              <w:left w:w="120" w:type="dxa"/>
              <w:bottom w:w="90" w:type="dxa"/>
              <w:right w:w="120" w:type="dxa"/>
            </w:tcMar>
          </w:tcPr>
          <w:p>
            <w:pPr>
              <w:spacing w:after="0" w:line="280" w:lineRule="auto"/>
            </w:pPr>
            <w:r>
              <w:t>Confirm BUSY access, SKU/points rules, QR expiry, printer setup, Android project, database model.</w:t>
            </w:r>
          </w:p>
        </w:tc>
        <w:tc>
          <w:tcPr>
            <w:tcW w:w="1617" w:type="dxa"/>
            <w:tcMar>
              <w:top w:w="90" w:type="dxa"/>
              <w:left w:w="120" w:type="dxa"/>
              <w:bottom w:w="90" w:type="dxa"/>
              <w:right w:w="120" w:type="dxa"/>
            </w:tcMar>
          </w:tcPr>
          <w:p>
            <w:pPr>
              <w:spacing w:after="0" w:line="280" w:lineRule="auto"/>
            </w:pPr>
            <w:r>
              <w:t>Build-ready</w:t>
            </w:r>
          </w:p>
        </w:tc>
      </w:tr>
      <w:tr>
        <w:tc>
          <w:tcPr>
            <w:tcW w:w="1311" w:type="dxa"/>
            <w:tcMar>
              <w:top w:w="90" w:type="dxa"/>
              <w:left w:w="120" w:type="dxa"/>
              <w:bottom w:w="90" w:type="dxa"/>
              <w:right w:w="120" w:type="dxa"/>
            </w:tcMar>
          </w:tcPr>
          <w:p>
            <w:pPr>
              <w:spacing w:after="0" w:line="280" w:lineRule="auto"/>
            </w:pPr>
            <w:r>
              <w:t>Week 2</w:t>
            </w:r>
          </w:p>
        </w:tc>
        <w:tc>
          <w:tcPr>
            <w:tcW w:w="2825" w:type="dxa"/>
            <w:tcMar>
              <w:top w:w="90" w:type="dxa"/>
              <w:left w:w="120" w:type="dxa"/>
              <w:bottom w:w="90" w:type="dxa"/>
              <w:right w:w="120" w:type="dxa"/>
            </w:tcMar>
          </w:tcPr>
          <w:p>
            <w:pPr>
              <w:spacing w:after="0" w:line="280" w:lineRule="auto"/>
            </w:pPr>
            <w:r>
              <w:t>Backend foundation and admin basics</w:t>
            </w:r>
          </w:p>
        </w:tc>
        <w:tc>
          <w:tcPr>
            <w:tcW w:w="4339" w:type="dxa"/>
            <w:tcMar>
              <w:top w:w="90" w:type="dxa"/>
              <w:left w:w="120" w:type="dxa"/>
              <w:bottom w:w="90" w:type="dxa"/>
              <w:right w:w="120" w:type="dxa"/>
            </w:tcMar>
          </w:tcPr>
          <w:p>
            <w:pPr>
              <w:spacing w:after="0" w:line="280" w:lineRule="auto"/>
            </w:pPr>
            <w:r>
              <w:t>Authentication, electrician registration, SKU/category setup, point rule setup, audit-friendly data model.</w:t>
            </w:r>
          </w:p>
        </w:tc>
        <w:tc>
          <w:tcPr>
            <w:tcW w:w="1617" w:type="dxa"/>
            <w:tcMar>
              <w:top w:w="90" w:type="dxa"/>
              <w:left w:w="120" w:type="dxa"/>
              <w:bottom w:w="90" w:type="dxa"/>
              <w:right w:w="120" w:type="dxa"/>
            </w:tcMar>
          </w:tcPr>
          <w:p>
            <w:pPr>
              <w:spacing w:after="0" w:line="280" w:lineRule="auto"/>
            </w:pPr>
            <w:r>
              <w:t>Admin foundation</w:t>
            </w:r>
          </w:p>
        </w:tc>
      </w:tr>
      <w:tr>
        <w:tc>
          <w:tcPr>
            <w:tcW w:w="1311" w:type="dxa"/>
            <w:tcMar>
              <w:top w:w="90" w:type="dxa"/>
              <w:left w:w="120" w:type="dxa"/>
              <w:bottom w:w="90" w:type="dxa"/>
              <w:right w:w="120" w:type="dxa"/>
            </w:tcMar>
          </w:tcPr>
          <w:p>
            <w:pPr>
              <w:spacing w:after="0" w:line="280" w:lineRule="auto"/>
            </w:pPr>
            <w:r>
              <w:t>Week 3</w:t>
            </w:r>
          </w:p>
        </w:tc>
        <w:tc>
          <w:tcPr>
            <w:tcW w:w="2825" w:type="dxa"/>
            <w:tcMar>
              <w:top w:w="90" w:type="dxa"/>
              <w:left w:w="120" w:type="dxa"/>
              <w:bottom w:w="90" w:type="dxa"/>
              <w:right w:w="120" w:type="dxa"/>
            </w:tcMar>
          </w:tcPr>
          <w:p>
            <w:pPr>
              <w:spacing w:after="0" w:line="280" w:lineRule="auto"/>
            </w:pPr>
            <w:r>
              <w:t>BUSY invoice and QR label flow</w:t>
            </w:r>
          </w:p>
        </w:tc>
        <w:tc>
          <w:tcPr>
            <w:tcW w:w="4339" w:type="dxa"/>
            <w:tcMar>
              <w:top w:w="90" w:type="dxa"/>
              <w:left w:w="120" w:type="dxa"/>
              <w:bottom w:w="90" w:type="dxa"/>
              <w:right w:w="120" w:type="dxa"/>
            </w:tcMar>
          </w:tcPr>
          <w:p>
            <w:pPr>
              <w:spacing w:after="0" w:line="280" w:lineRule="auto"/>
            </w:pPr>
            <w:r>
              <w:t>Invoice lookup, line item mapping, secure QR generation, duplicate prevention, label print layout.</w:t>
            </w:r>
          </w:p>
        </w:tc>
        <w:tc>
          <w:tcPr>
            <w:tcW w:w="1617" w:type="dxa"/>
            <w:tcMar>
              <w:top w:w="90" w:type="dxa"/>
              <w:left w:w="120" w:type="dxa"/>
              <w:bottom w:w="90" w:type="dxa"/>
              <w:right w:w="120" w:type="dxa"/>
            </w:tcMar>
          </w:tcPr>
          <w:p>
            <w:pPr>
              <w:spacing w:after="0" w:line="280" w:lineRule="auto"/>
            </w:pPr>
            <w:r>
              <w:t>QR print test</w:t>
            </w:r>
          </w:p>
        </w:tc>
      </w:tr>
      <w:tr>
        <w:tc>
          <w:tcPr>
            <w:tcW w:w="1311" w:type="dxa"/>
            <w:tcMar>
              <w:top w:w="90" w:type="dxa"/>
              <w:left w:w="120" w:type="dxa"/>
              <w:bottom w:w="90" w:type="dxa"/>
              <w:right w:w="120" w:type="dxa"/>
            </w:tcMar>
          </w:tcPr>
          <w:p>
            <w:pPr>
              <w:spacing w:after="0" w:line="280" w:lineRule="auto"/>
            </w:pPr>
            <w:r>
              <w:t>Week 4</w:t>
            </w:r>
          </w:p>
        </w:tc>
        <w:tc>
          <w:tcPr>
            <w:tcW w:w="2825" w:type="dxa"/>
            <w:tcMar>
              <w:top w:w="90" w:type="dxa"/>
              <w:left w:w="120" w:type="dxa"/>
              <w:bottom w:w="90" w:type="dxa"/>
              <w:right w:w="120" w:type="dxa"/>
            </w:tcMar>
          </w:tcPr>
          <w:p>
            <w:pPr>
              <w:spacing w:after="0" w:line="280" w:lineRule="auto"/>
            </w:pPr>
            <w:r>
              <w:t>Android electrician app</w:t>
            </w:r>
          </w:p>
        </w:tc>
        <w:tc>
          <w:tcPr>
            <w:tcW w:w="4339" w:type="dxa"/>
            <w:tcMar>
              <w:top w:w="90" w:type="dxa"/>
              <w:left w:w="120" w:type="dxa"/>
              <w:bottom w:w="90" w:type="dxa"/>
              <w:right w:w="120" w:type="dxa"/>
            </w:tcMar>
          </w:tcPr>
          <w:p>
            <w:pPr>
              <w:spacing w:after="0" w:line="280" w:lineRule="auto"/>
            </w:pPr>
            <w:r>
              <w:t>OTP login, Home, Scan, History, Redeem, tier display, PIN-protected sections.</w:t>
            </w:r>
          </w:p>
        </w:tc>
        <w:tc>
          <w:tcPr>
            <w:tcW w:w="1617" w:type="dxa"/>
            <w:tcMar>
              <w:top w:w="90" w:type="dxa"/>
              <w:left w:w="120" w:type="dxa"/>
              <w:bottom w:w="90" w:type="dxa"/>
              <w:right w:w="120" w:type="dxa"/>
            </w:tcMar>
          </w:tcPr>
          <w:p>
            <w:pPr>
              <w:spacing w:after="0" w:line="280" w:lineRule="auto"/>
            </w:pPr>
            <w:r>
              <w:t>APK test build</w:t>
            </w:r>
          </w:p>
        </w:tc>
      </w:tr>
      <w:tr>
        <w:tc>
          <w:tcPr>
            <w:tcW w:w="1311" w:type="dxa"/>
            <w:tcMar>
              <w:top w:w="90" w:type="dxa"/>
              <w:left w:w="120" w:type="dxa"/>
              <w:bottom w:w="90" w:type="dxa"/>
              <w:right w:w="120" w:type="dxa"/>
            </w:tcMar>
          </w:tcPr>
          <w:p>
            <w:pPr>
              <w:spacing w:after="0" w:line="280" w:lineRule="auto"/>
            </w:pPr>
            <w:r>
              <w:t>Week 5</w:t>
            </w:r>
          </w:p>
        </w:tc>
        <w:tc>
          <w:tcPr>
            <w:tcW w:w="2825" w:type="dxa"/>
            <w:tcMar>
              <w:top w:w="90" w:type="dxa"/>
              <w:left w:w="120" w:type="dxa"/>
              <w:bottom w:w="90" w:type="dxa"/>
              <w:right w:w="120" w:type="dxa"/>
            </w:tcMar>
          </w:tcPr>
          <w:p>
            <w:pPr>
              <w:spacing w:after="0" w:line="280" w:lineRule="auto"/>
            </w:pPr>
            <w:r>
              <w:t>Returns, reporting, and notifications</w:t>
            </w:r>
          </w:p>
        </w:tc>
        <w:tc>
          <w:tcPr>
            <w:tcW w:w="4339" w:type="dxa"/>
            <w:tcMar>
              <w:top w:w="90" w:type="dxa"/>
              <w:left w:w="120" w:type="dxa"/>
              <w:bottom w:w="90" w:type="dxa"/>
              <w:right w:w="120" w:type="dxa"/>
            </w:tcMar>
          </w:tcPr>
          <w:p>
            <w:pPr>
              <w:spacing w:after="0" w:line="280" w:lineRule="auto"/>
            </w:pPr>
            <w:r>
              <w:t>Return scan/reversal, electrician totals/history, basic notifications, error states, operational safeguards.</w:t>
            </w:r>
          </w:p>
        </w:tc>
        <w:tc>
          <w:tcPr>
            <w:tcW w:w="1617" w:type="dxa"/>
            <w:tcMar>
              <w:top w:w="90" w:type="dxa"/>
              <w:left w:w="120" w:type="dxa"/>
              <w:bottom w:w="90" w:type="dxa"/>
              <w:right w:w="120" w:type="dxa"/>
            </w:tcMar>
          </w:tcPr>
          <w:p>
            <w:pPr>
              <w:spacing w:after="0" w:line="280" w:lineRule="auto"/>
            </w:pPr>
            <w:r>
              <w:t>End-to-end UAT</w:t>
            </w:r>
          </w:p>
        </w:tc>
      </w:tr>
      <w:tr>
        <w:tc>
          <w:tcPr>
            <w:tcW w:w="1311" w:type="dxa"/>
            <w:tcMar>
              <w:top w:w="90" w:type="dxa"/>
              <w:left w:w="120" w:type="dxa"/>
              <w:bottom w:w="90" w:type="dxa"/>
              <w:right w:w="120" w:type="dxa"/>
            </w:tcMar>
          </w:tcPr>
          <w:p>
            <w:pPr>
              <w:spacing w:after="0" w:line="280" w:lineRule="auto"/>
            </w:pPr>
            <w:r>
              <w:t>Week 6</w:t>
            </w:r>
          </w:p>
        </w:tc>
        <w:tc>
          <w:tcPr>
            <w:tcW w:w="2825" w:type="dxa"/>
            <w:tcMar>
              <w:top w:w="90" w:type="dxa"/>
              <w:left w:w="120" w:type="dxa"/>
              <w:bottom w:w="90" w:type="dxa"/>
              <w:right w:w="120" w:type="dxa"/>
            </w:tcMar>
          </w:tcPr>
          <w:p>
            <w:pPr>
              <w:spacing w:after="0" w:line="280" w:lineRule="auto"/>
            </w:pPr>
            <w:r>
              <w:t>Pilot hardening and handover</w:t>
            </w:r>
          </w:p>
        </w:tc>
        <w:tc>
          <w:tcPr>
            <w:tcW w:w="4339" w:type="dxa"/>
            <w:tcMar>
              <w:top w:w="90" w:type="dxa"/>
              <w:left w:w="120" w:type="dxa"/>
              <w:bottom w:w="90" w:type="dxa"/>
              <w:right w:w="120" w:type="dxa"/>
            </w:tcMar>
          </w:tcPr>
          <w:p>
            <w:pPr>
              <w:spacing w:after="0" w:line="280" w:lineRule="auto"/>
            </w:pPr>
            <w:r>
              <w:t>Bug fixes, pilot data setup, APK handover, admin training, sample invoice-to-scan workflow validation.</w:t>
            </w:r>
          </w:p>
        </w:tc>
        <w:tc>
          <w:tcPr>
            <w:tcW w:w="1617" w:type="dxa"/>
            <w:tcMar>
              <w:top w:w="90" w:type="dxa"/>
              <w:left w:w="120" w:type="dxa"/>
              <w:bottom w:w="90" w:type="dxa"/>
              <w:right w:w="120" w:type="dxa"/>
            </w:tcMar>
          </w:tcPr>
          <w:p>
            <w:pPr>
              <w:spacing w:after="0" w:line="280" w:lineRule="auto"/>
            </w:pPr>
            <w:r>
              <w:t>Pilot launch</w:t>
            </w:r>
          </w:p>
        </w:tc>
      </w:tr>
    </w:tbl>
    <w:p>
      <w:pPr>
        <w:spacing w:after="80" w:line="280" w:lineRule="auto"/>
      </w:pPr>
      <w:r>
        <w:t/>
      </w:r>
    </w:p>
    <w:p>
      <w:r>
        <w:rPr>
          <w:i/>
          <w:color w:val="4B5563"/>
          <w:sz w:val="18"/>
          <w:szCs w:val="18"/>
        </w:rPr>
        <w:t>* Timeline assumes timely BUSY access, printer availability, SMS/OTP onboarding, and client feedback.</w:t>
      </w:r>
    </w:p>
    <w:p>
      <w:r>
        <w:br w:type="page"/>
      </w:r>
    </w:p>
    <w:p>
      <w:pPr>
        <w:pStyle w:val="Heading1"/>
        <w:keepNext/>
      </w:pPr>
      <w:r>
        <w:t>5. Recommended Tools And Services</w:t>
      </w:r>
    </w:p>
    <w:tbl>
      <w:tblPr>
        <w:tblW w:w="100%" w:type="pct"/>
        <w:tblBorders>
          <w:top w:val="single" w:sz="6" w:space="0" w:color="CFD8E3"/>
          <w:left w:val="single" w:sz="6" w:space="0" w:color="CFD8E3"/>
          <w:bottom w:val="single" w:sz="6" w:space="0" w:color="CFD8E3"/>
          <w:right w:val="single" w:sz="6" w:space="0" w:color="CFD8E3"/>
          <w:insideH w:val="single" w:sz="6" w:space="0" w:color="CFD8E3"/>
          <w:insideV w:val="single" w:sz="6" w:space="0" w:color="CFD8E3"/>
        </w:tblBorders>
        <w:tblCellMar>
          <w:top w:w="80" w:type="dxa"/>
          <w:left w:w="120" w:type="dxa"/>
          <w:bottom w:w="80" w:type="dxa"/>
          <w:right w:w="120" w:type="dxa"/>
        </w:tblCellMar>
      </w:tblPr>
      <w:tblGrid>
        <w:gridCol w:w="2422"/>
        <w:gridCol w:w="3128"/>
        <w:gridCol w:w="4542"/>
      </w:tblGrid>
      <w:tr>
        <w:tc>
          <w:tcPr>
            <w:tcW w:w="2422" w:type="dxa"/>
            <w:tcMar>
              <w:top w:w="90" w:type="dxa"/>
              <w:left w:w="120" w:type="dxa"/>
              <w:bottom w:w="90" w:type="dxa"/>
              <w:right w:w="120" w:type="dxa"/>
            </w:tcMar>
            <w:shd w:fill="E8EEF5"/>
          </w:tcPr>
          <w:p>
            <w:pPr>
              <w:spacing w:after="0" w:line="280" w:lineRule="auto"/>
            </w:pPr>
            <w:r>
              <w:rPr>
                <w:b/>
              </w:rPr>
              <w:t>Layer</w:t>
            </w:r>
          </w:p>
        </w:tc>
        <w:tc>
          <w:tcPr>
            <w:tcW w:w="3128" w:type="dxa"/>
            <w:tcMar>
              <w:top w:w="90" w:type="dxa"/>
              <w:left w:w="120" w:type="dxa"/>
              <w:bottom w:w="90" w:type="dxa"/>
              <w:right w:w="120" w:type="dxa"/>
            </w:tcMar>
            <w:shd w:fill="E8EEF5"/>
          </w:tcPr>
          <w:p>
            <w:pPr>
              <w:spacing w:after="0" w:line="280" w:lineRule="auto"/>
            </w:pPr>
            <w:r>
              <w:rPr>
                <w:b/>
              </w:rPr>
              <w:t>Recommended Tool / Service</w:t>
            </w:r>
          </w:p>
        </w:tc>
        <w:tc>
          <w:tcPr>
            <w:tcW w:w="4542" w:type="dxa"/>
            <w:tcMar>
              <w:top w:w="90" w:type="dxa"/>
              <w:left w:w="120" w:type="dxa"/>
              <w:bottom w:w="90" w:type="dxa"/>
              <w:right w:w="120" w:type="dxa"/>
            </w:tcMar>
            <w:shd w:fill="E8EEF5"/>
          </w:tcPr>
          <w:p>
            <w:pPr>
              <w:spacing w:after="0" w:line="280" w:lineRule="auto"/>
            </w:pPr>
            <w:r>
              <w:rPr>
                <w:b/>
              </w:rPr>
              <w:t>Reason</w:t>
            </w:r>
          </w:p>
        </w:tc>
      </w:tr>
      <w:tr>
        <w:tc>
          <w:tcPr>
            <w:tcW w:w="2422" w:type="dxa"/>
            <w:tcMar>
              <w:top w:w="90" w:type="dxa"/>
              <w:left w:w="120" w:type="dxa"/>
              <w:bottom w:w="90" w:type="dxa"/>
              <w:right w:w="120" w:type="dxa"/>
            </w:tcMar>
          </w:tcPr>
          <w:p>
            <w:pPr>
              <w:spacing w:after="0" w:line="280" w:lineRule="auto"/>
            </w:pPr>
            <w:r>
              <w:t>Electrician app</w:t>
            </w:r>
          </w:p>
        </w:tc>
        <w:tc>
          <w:tcPr>
            <w:tcW w:w="3128" w:type="dxa"/>
            <w:tcMar>
              <w:top w:w="90" w:type="dxa"/>
              <w:left w:w="120" w:type="dxa"/>
              <w:bottom w:w="90" w:type="dxa"/>
              <w:right w:w="120" w:type="dxa"/>
            </w:tcMar>
          </w:tcPr>
          <w:p>
            <w:pPr>
              <w:spacing w:after="0" w:line="280" w:lineRule="auto"/>
            </w:pPr>
            <w:r>
              <w:t>Native Android with Kotlin + Jetpack Compose</w:t>
            </w:r>
          </w:p>
        </w:tc>
        <w:tc>
          <w:tcPr>
            <w:tcW w:w="4542" w:type="dxa"/>
            <w:tcMar>
              <w:top w:w="90" w:type="dxa"/>
              <w:left w:w="120" w:type="dxa"/>
              <w:bottom w:w="90" w:type="dxa"/>
              <w:right w:w="120" w:type="dxa"/>
            </w:tcMar>
          </w:tcPr>
          <w:p>
            <w:pPr>
              <w:spacing w:after="0" w:line="280" w:lineRule="auto"/>
            </w:pPr>
            <w:r>
              <w:t>Native APK, strong camera control, and good fit for bottom navigation, scan flow, history, tier card, and PIN-protected views.</w:t>
            </w:r>
          </w:p>
        </w:tc>
      </w:tr>
      <w:tr>
        <w:tc>
          <w:tcPr>
            <w:tcW w:w="2422" w:type="dxa"/>
            <w:tcMar>
              <w:top w:w="90" w:type="dxa"/>
              <w:left w:w="120" w:type="dxa"/>
              <w:bottom w:w="90" w:type="dxa"/>
              <w:right w:w="120" w:type="dxa"/>
            </w:tcMar>
          </w:tcPr>
          <w:p>
            <w:pPr>
              <w:spacing w:after="0" w:line="280" w:lineRule="auto"/>
            </w:pPr>
            <w:r>
              <w:t>QR scanning</w:t>
            </w:r>
          </w:p>
        </w:tc>
        <w:tc>
          <w:tcPr>
            <w:tcW w:w="3128" w:type="dxa"/>
            <w:tcMar>
              <w:top w:w="90" w:type="dxa"/>
              <w:left w:w="120" w:type="dxa"/>
              <w:bottom w:w="90" w:type="dxa"/>
              <w:right w:w="120" w:type="dxa"/>
            </w:tcMar>
          </w:tcPr>
          <w:p>
            <w:pPr>
              <w:spacing w:after="0" w:line="280" w:lineRule="auto"/>
            </w:pPr>
            <w:r>
              <w:t>Google ML Kit Barcode Scanning</w:t>
            </w:r>
          </w:p>
        </w:tc>
        <w:tc>
          <w:tcPr>
            <w:tcW w:w="4542" w:type="dxa"/>
            <w:tcMar>
              <w:top w:w="90" w:type="dxa"/>
              <w:left w:w="120" w:type="dxa"/>
              <w:bottom w:w="90" w:type="dxa"/>
              <w:right w:w="120" w:type="dxa"/>
            </w:tcMar>
          </w:tcPr>
          <w:p>
            <w:pPr>
              <w:spacing w:after="0" w:line="280" w:lineRule="auto"/>
            </w:pPr>
            <w:r>
              <w:t>Proven Android QR scanning library; avoids custom camera/QR parsing logic.</w:t>
            </w:r>
          </w:p>
        </w:tc>
      </w:tr>
      <w:tr>
        <w:tc>
          <w:tcPr>
            <w:tcW w:w="2422" w:type="dxa"/>
            <w:tcMar>
              <w:top w:w="90" w:type="dxa"/>
              <w:left w:w="120" w:type="dxa"/>
              <w:bottom w:w="90" w:type="dxa"/>
              <w:right w:w="120" w:type="dxa"/>
            </w:tcMar>
          </w:tcPr>
          <w:p>
            <w:pPr>
              <w:spacing w:after="0" w:line="280" w:lineRule="auto"/>
            </w:pPr>
            <w:r>
              <w:t>Admin panel</w:t>
            </w:r>
          </w:p>
        </w:tc>
        <w:tc>
          <w:tcPr>
            <w:tcW w:w="3128" w:type="dxa"/>
            <w:tcMar>
              <w:top w:w="90" w:type="dxa"/>
              <w:left w:w="120" w:type="dxa"/>
              <w:bottom w:w="90" w:type="dxa"/>
              <w:right w:w="120" w:type="dxa"/>
            </w:tcMar>
          </w:tcPr>
          <w:p>
            <w:pPr>
              <w:spacing w:after="0" w:line="280" w:lineRule="auto"/>
            </w:pPr>
            <w:r>
              <w:t>Next.js web admin</w:t>
            </w:r>
          </w:p>
        </w:tc>
        <w:tc>
          <w:tcPr>
            <w:tcW w:w="4542" w:type="dxa"/>
            <w:tcMar>
              <w:top w:w="90" w:type="dxa"/>
              <w:left w:w="120" w:type="dxa"/>
              <w:bottom w:w="90" w:type="dxa"/>
              <w:right w:w="120" w:type="dxa"/>
            </w:tcMar>
          </w:tcPr>
          <w:p>
            <w:pPr>
              <w:spacing w:after="0" w:line="280" w:lineRule="auto"/>
            </w:pPr>
            <w:r>
              <w:t>Fast pilot delivery for forms, invoice selection, reporting, QR generation, and print pages.</w:t>
            </w:r>
          </w:p>
        </w:tc>
      </w:tr>
      <w:tr>
        <w:tc>
          <w:tcPr>
            <w:tcW w:w="2422" w:type="dxa"/>
            <w:tcMar>
              <w:top w:w="90" w:type="dxa"/>
              <w:left w:w="120" w:type="dxa"/>
              <w:bottom w:w="90" w:type="dxa"/>
              <w:right w:w="120" w:type="dxa"/>
            </w:tcMar>
          </w:tcPr>
          <w:p>
            <w:pPr>
              <w:spacing w:after="0" w:line="280" w:lineRule="auto"/>
            </w:pPr>
            <w:r>
              <w:t>Backend/API</w:t>
            </w:r>
          </w:p>
        </w:tc>
        <w:tc>
          <w:tcPr>
            <w:tcW w:w="3128" w:type="dxa"/>
            <w:tcMar>
              <w:top w:w="90" w:type="dxa"/>
              <w:left w:w="120" w:type="dxa"/>
              <w:bottom w:w="90" w:type="dxa"/>
              <w:right w:w="120" w:type="dxa"/>
            </w:tcMar>
          </w:tcPr>
          <w:p>
            <w:pPr>
              <w:spacing w:after="0" w:line="280" w:lineRule="auto"/>
            </w:pPr>
            <w:r>
              <w:t>Next.js API / Node.js service</w:t>
            </w:r>
          </w:p>
        </w:tc>
        <w:tc>
          <w:tcPr>
            <w:tcW w:w="4542" w:type="dxa"/>
            <w:tcMar>
              <w:top w:w="90" w:type="dxa"/>
              <w:left w:w="120" w:type="dxa"/>
              <w:bottom w:w="90" w:type="dxa"/>
              <w:right w:w="120" w:type="dxa"/>
            </w:tcMar>
          </w:tcPr>
          <w:p>
            <w:pPr>
              <w:spacing w:after="0" w:line="280" w:lineRule="auto"/>
            </w:pPr>
            <w:r>
              <w:t>Keeps admin and backend delivery simple for pilot while supporting secure QR/token/points logic.</w:t>
            </w:r>
          </w:p>
        </w:tc>
      </w:tr>
      <w:tr>
        <w:tc>
          <w:tcPr>
            <w:tcW w:w="2422" w:type="dxa"/>
            <w:tcMar>
              <w:top w:w="90" w:type="dxa"/>
              <w:left w:w="120" w:type="dxa"/>
              <w:bottom w:w="90" w:type="dxa"/>
              <w:right w:w="120" w:type="dxa"/>
            </w:tcMar>
          </w:tcPr>
          <w:p>
            <w:pPr>
              <w:spacing w:after="0" w:line="280" w:lineRule="auto"/>
            </w:pPr>
            <w:r>
              <w:t>Database</w:t>
            </w:r>
          </w:p>
        </w:tc>
        <w:tc>
          <w:tcPr>
            <w:tcW w:w="3128" w:type="dxa"/>
            <w:tcMar>
              <w:top w:w="90" w:type="dxa"/>
              <w:left w:w="120" w:type="dxa"/>
              <w:bottom w:w="90" w:type="dxa"/>
              <w:right w:w="120" w:type="dxa"/>
            </w:tcMar>
          </w:tcPr>
          <w:p>
            <w:pPr>
              <w:spacing w:after="0" w:line="280" w:lineRule="auto"/>
            </w:pPr>
            <w:r>
              <w:t>Neon PostgreSQL Launch plan, or equivalent</w:t>
            </w:r>
          </w:p>
        </w:tc>
        <w:tc>
          <w:tcPr>
            <w:tcW w:w="4542" w:type="dxa"/>
            <w:tcMar>
              <w:top w:w="90" w:type="dxa"/>
              <w:left w:w="120" w:type="dxa"/>
              <w:bottom w:w="90" w:type="dxa"/>
              <w:right w:w="120" w:type="dxa"/>
            </w:tcMar>
          </w:tcPr>
          <w:p>
            <w:pPr>
              <w:spacing w:after="0" w:line="280" w:lineRule="auto"/>
            </w:pPr>
            <w:r>
              <w:t>Managed PostgreSQL for electricians, QR tokens, point ledger, scans, returns, redemptions, and audit logs.</w:t>
            </w:r>
          </w:p>
        </w:tc>
      </w:tr>
      <w:tr>
        <w:tc>
          <w:tcPr>
            <w:tcW w:w="2422" w:type="dxa"/>
            <w:tcMar>
              <w:top w:w="90" w:type="dxa"/>
              <w:left w:w="120" w:type="dxa"/>
              <w:bottom w:w="90" w:type="dxa"/>
              <w:right w:w="120" w:type="dxa"/>
            </w:tcMar>
          </w:tcPr>
          <w:p>
            <w:pPr>
              <w:spacing w:after="0" w:line="280" w:lineRule="auto"/>
            </w:pPr>
            <w:r>
              <w:t>Hosting</w:t>
            </w:r>
          </w:p>
        </w:tc>
        <w:tc>
          <w:tcPr>
            <w:tcW w:w="3128" w:type="dxa"/>
            <w:tcMar>
              <w:top w:w="90" w:type="dxa"/>
              <w:left w:w="120" w:type="dxa"/>
              <w:bottom w:w="90" w:type="dxa"/>
              <w:right w:w="120" w:type="dxa"/>
            </w:tcMar>
          </w:tcPr>
          <w:p>
            <w:pPr>
              <w:spacing w:after="0" w:line="280" w:lineRule="auto"/>
            </w:pPr>
            <w:r>
              <w:t>Vercel Pro, or equivalent</w:t>
            </w:r>
          </w:p>
        </w:tc>
        <w:tc>
          <w:tcPr>
            <w:tcW w:w="4542" w:type="dxa"/>
            <w:tcMar>
              <w:top w:w="90" w:type="dxa"/>
              <w:left w:w="120" w:type="dxa"/>
              <w:bottom w:w="90" w:type="dxa"/>
              <w:right w:w="120" w:type="dxa"/>
            </w:tcMar>
          </w:tcPr>
          <w:p>
            <w:pPr>
              <w:spacing w:after="0" w:line="280" w:lineRule="auto"/>
            </w:pPr>
            <w:r>
              <w:t>Commercial-ready HTTPS hosting and deployment workflow for admin/API.</w:t>
            </w:r>
          </w:p>
        </w:tc>
      </w:tr>
      <w:tr>
        <w:tc>
          <w:tcPr>
            <w:tcW w:w="2422" w:type="dxa"/>
            <w:tcMar>
              <w:top w:w="90" w:type="dxa"/>
              <w:left w:w="120" w:type="dxa"/>
              <w:bottom w:w="90" w:type="dxa"/>
              <w:right w:w="120" w:type="dxa"/>
            </w:tcMar>
          </w:tcPr>
          <w:p>
            <w:pPr>
              <w:spacing w:after="0" w:line="280" w:lineRule="auto"/>
            </w:pPr>
            <w:r>
              <w:t>OTP/SMS</w:t>
            </w:r>
          </w:p>
        </w:tc>
        <w:tc>
          <w:tcPr>
            <w:tcW w:w="3128" w:type="dxa"/>
            <w:tcMar>
              <w:top w:w="90" w:type="dxa"/>
              <w:left w:w="120" w:type="dxa"/>
              <w:bottom w:w="90" w:type="dxa"/>
              <w:right w:w="120" w:type="dxa"/>
            </w:tcMar>
          </w:tcPr>
          <w:p>
            <w:pPr>
              <w:spacing w:after="0" w:line="280" w:lineRule="auto"/>
            </w:pPr>
            <w:r>
              <w:t>MSG91 OTP</w:t>
            </w:r>
          </w:p>
        </w:tc>
        <w:tc>
          <w:tcPr>
            <w:tcW w:w="4542" w:type="dxa"/>
            <w:tcMar>
              <w:top w:w="90" w:type="dxa"/>
              <w:left w:w="120" w:type="dxa"/>
              <w:bottom w:w="90" w:type="dxa"/>
              <w:right w:w="120" w:type="dxa"/>
            </w:tcMar>
          </w:tcPr>
          <w:p>
            <w:pPr>
              <w:spacing w:after="0" w:line="280" w:lineRule="auto"/>
            </w:pPr>
            <w:r>
              <w:t>India-focused OTP provider with public India OTP pricing.</w:t>
            </w:r>
          </w:p>
        </w:tc>
      </w:tr>
      <w:tr>
        <w:tc>
          <w:tcPr>
            <w:tcW w:w="2422" w:type="dxa"/>
            <w:tcMar>
              <w:top w:w="90" w:type="dxa"/>
              <w:left w:w="120" w:type="dxa"/>
              <w:bottom w:w="90" w:type="dxa"/>
              <w:right w:w="120" w:type="dxa"/>
            </w:tcMar>
          </w:tcPr>
          <w:p>
            <w:pPr>
              <w:spacing w:after="0" w:line="280" w:lineRule="auto"/>
            </w:pPr>
            <w:r>
              <w:t>APK distribution / push</w:t>
            </w:r>
          </w:p>
        </w:tc>
        <w:tc>
          <w:tcPr>
            <w:tcW w:w="3128" w:type="dxa"/>
            <w:tcMar>
              <w:top w:w="90" w:type="dxa"/>
              <w:left w:w="120" w:type="dxa"/>
              <w:bottom w:w="90" w:type="dxa"/>
              <w:right w:w="120" w:type="dxa"/>
            </w:tcMar>
          </w:tcPr>
          <w:p>
            <w:pPr>
              <w:spacing w:after="0" w:line="280" w:lineRule="auto"/>
            </w:pPr>
            <w:r>
              <w:t>Firebase App Distribution + Firebase Cloud Messaging</w:t>
            </w:r>
          </w:p>
        </w:tc>
        <w:tc>
          <w:tcPr>
            <w:tcW w:w="4542" w:type="dxa"/>
            <w:tcMar>
              <w:top w:w="90" w:type="dxa"/>
              <w:left w:w="120" w:type="dxa"/>
              <w:bottom w:w="90" w:type="dxa"/>
              <w:right w:w="120" w:type="dxa"/>
            </w:tcMar>
          </w:tcPr>
          <w:p>
            <w:pPr>
              <w:spacing w:after="0" w:line="280" w:lineRule="auto"/>
            </w:pPr>
            <w:r>
              <w:t>No-cost pilot-friendly APK distribution and native push notification channel.</w:t>
            </w:r>
          </w:p>
        </w:tc>
      </w:tr>
      <w:tr>
        <w:tc>
          <w:tcPr>
            <w:tcW w:w="2422" w:type="dxa"/>
            <w:tcMar>
              <w:top w:w="90" w:type="dxa"/>
              <w:left w:w="120" w:type="dxa"/>
              <w:bottom w:w="90" w:type="dxa"/>
              <w:right w:w="120" w:type="dxa"/>
            </w:tcMar>
          </w:tcPr>
          <w:p>
            <w:pPr>
              <w:spacing w:after="0" w:line="280" w:lineRule="auto"/>
            </w:pPr>
            <w:r>
              <w:t>QR label printer</w:t>
            </w:r>
          </w:p>
        </w:tc>
        <w:tc>
          <w:tcPr>
            <w:tcW w:w="3128" w:type="dxa"/>
            <w:tcMar>
              <w:top w:w="90" w:type="dxa"/>
              <w:left w:w="120" w:type="dxa"/>
              <w:bottom w:w="90" w:type="dxa"/>
              <w:right w:w="120" w:type="dxa"/>
            </w:tcMar>
          </w:tcPr>
          <w:p>
            <w:pPr>
              <w:spacing w:after="0" w:line="280" w:lineRule="auto"/>
            </w:pPr>
            <w:r>
              <w:t>TSC TE244 thermal transfer barcode printer</w:t>
            </w:r>
          </w:p>
        </w:tc>
        <w:tc>
          <w:tcPr>
            <w:tcW w:w="4542" w:type="dxa"/>
            <w:tcMar>
              <w:top w:w="90" w:type="dxa"/>
              <w:left w:w="120" w:type="dxa"/>
              <w:bottom w:w="90" w:type="dxa"/>
              <w:right w:w="120" w:type="dxa"/>
            </w:tcMar>
          </w:tcPr>
          <w:p>
            <w:pPr>
              <w:spacing w:after="0" w:line="280" w:lineRule="auto"/>
            </w:pPr>
            <w:r>
              <w:t>Reliable, cost-effective, India-available desktop barcode printer. Recommendation can be changed after vendor quote/testing.</w:t>
            </w:r>
          </w:p>
        </w:tc>
      </w:tr>
    </w:tbl>
    <w:p>
      <w:pPr>
        <w:spacing w:after="80" w:line="280" w:lineRule="auto"/>
      </w:pPr>
      <w:r>
        <w:t/>
      </w:r>
    </w:p>
    <w:p>
      <w:pPr>
        <w:pStyle w:val="Heading1"/>
        <w:keepNext/>
      </w:pPr>
      <w:r>
        <w:t>6. Cost Breakdown</w:t>
      </w:r>
    </w:p>
    <w:p>
      <w:pPr>
        <w:pStyle w:val="Heading2"/>
        <w:keepNext/>
      </w:pPr>
      <w:r>
        <w:t>6.1 One-Time Development Charge</w:t>
      </w:r>
    </w:p>
    <w:tbl>
      <w:tblPr>
        <w:tblW w:w="100%" w:type="pct"/>
        <w:tblBorders>
          <w:top w:val="single" w:sz="6" w:space="0" w:color="CFD8E3"/>
          <w:left w:val="single" w:sz="6" w:space="0" w:color="CFD8E3"/>
          <w:bottom w:val="single" w:sz="6" w:space="0" w:color="CFD8E3"/>
          <w:right w:val="single" w:sz="6" w:space="0" w:color="CFD8E3"/>
          <w:insideH w:val="single" w:sz="6" w:space="0" w:color="CFD8E3"/>
          <w:insideV w:val="single" w:sz="6" w:space="0" w:color="CFD8E3"/>
        </w:tblBorders>
        <w:tblCellMar>
          <w:top w:w="80" w:type="dxa"/>
          <w:left w:w="120" w:type="dxa"/>
          <w:bottom w:w="80" w:type="dxa"/>
          <w:right w:w="120" w:type="dxa"/>
        </w:tblCellMar>
      </w:tblPr>
      <w:tblGrid>
        <w:gridCol w:w="2825"/>
        <w:gridCol w:w="1614"/>
        <w:gridCol w:w="1715"/>
        <w:gridCol w:w="3938"/>
      </w:tblGrid>
      <w:tr>
        <w:tc>
          <w:tcPr>
            <w:tcW w:w="2825" w:type="dxa"/>
            <w:tcMar>
              <w:top w:w="90" w:type="dxa"/>
              <w:left w:w="120" w:type="dxa"/>
              <w:bottom w:w="90" w:type="dxa"/>
              <w:right w:w="120" w:type="dxa"/>
            </w:tcMar>
            <w:shd w:fill="E8EEF5"/>
          </w:tcPr>
          <w:p>
            <w:pPr>
              <w:spacing w:after="0" w:line="280" w:lineRule="auto"/>
            </w:pPr>
            <w:r>
              <w:rPr>
                <w:b/>
              </w:rPr>
              <w:t>Item</w:t>
            </w:r>
          </w:p>
        </w:tc>
        <w:tc>
          <w:tcPr>
            <w:tcW w:w="1614" w:type="dxa"/>
            <w:tcMar>
              <w:top w:w="90" w:type="dxa"/>
              <w:left w:w="120" w:type="dxa"/>
              <w:bottom w:w="90" w:type="dxa"/>
              <w:right w:w="120" w:type="dxa"/>
            </w:tcMar>
            <w:shd w:fill="E8EEF5"/>
          </w:tcPr>
          <w:p>
            <w:pPr>
              <w:spacing w:after="0" w:line="280" w:lineRule="auto"/>
            </w:pPr>
            <w:r>
              <w:rPr>
                <w:b/>
              </w:rPr>
              <w:t>Cost</w:t>
            </w:r>
          </w:p>
        </w:tc>
        <w:tc>
          <w:tcPr>
            <w:tcW w:w="1715" w:type="dxa"/>
            <w:tcMar>
              <w:top w:w="90" w:type="dxa"/>
              <w:left w:w="120" w:type="dxa"/>
              <w:bottom w:w="90" w:type="dxa"/>
              <w:right w:w="120" w:type="dxa"/>
            </w:tcMar>
            <w:shd w:fill="E8EEF5"/>
          </w:tcPr>
          <w:p>
            <w:pPr>
              <w:spacing w:after="0" w:line="280" w:lineRule="auto"/>
            </w:pPr>
            <w:r>
              <w:rPr>
                <w:b/>
              </w:rPr>
              <w:t>Paid To</w:t>
            </w:r>
          </w:p>
        </w:tc>
        <w:tc>
          <w:tcPr>
            <w:tcW w:w="3938" w:type="dxa"/>
            <w:tcMar>
              <w:top w:w="90" w:type="dxa"/>
              <w:left w:w="120" w:type="dxa"/>
              <w:bottom w:w="90" w:type="dxa"/>
              <w:right w:w="120" w:type="dxa"/>
            </w:tcMar>
            <w:shd w:fill="E8EEF5"/>
          </w:tcPr>
          <w:p>
            <w:pPr>
              <w:spacing w:after="0" w:line="280" w:lineRule="auto"/>
            </w:pPr>
            <w:r>
              <w:rPr>
                <w:b/>
              </w:rPr>
              <w:t>Notes</w:t>
            </w:r>
          </w:p>
        </w:tc>
      </w:tr>
      <w:tr>
        <w:tc>
          <w:tcPr>
            <w:tcW w:w="2825" w:type="dxa"/>
            <w:tcMar>
              <w:top w:w="90" w:type="dxa"/>
              <w:left w:w="120" w:type="dxa"/>
              <w:bottom w:w="90" w:type="dxa"/>
              <w:right w:w="120" w:type="dxa"/>
            </w:tcMar>
          </w:tcPr>
          <w:p>
            <w:pPr>
              <w:spacing w:after="0" w:line="280" w:lineRule="auto"/>
            </w:pPr>
            <w:r>
              <w:t>Pilot application development</w:t>
            </w:r>
          </w:p>
        </w:tc>
        <w:tc>
          <w:tcPr>
            <w:tcW w:w="1614" w:type="dxa"/>
            <w:tcMar>
              <w:top w:w="90" w:type="dxa"/>
              <w:left w:w="120" w:type="dxa"/>
              <w:bottom w:w="90" w:type="dxa"/>
              <w:right w:w="120" w:type="dxa"/>
            </w:tcMar>
          </w:tcPr>
          <w:p>
            <w:pPr>
              <w:spacing w:after="0" w:line="280" w:lineRule="auto"/>
            </w:pPr>
            <w:r>
              <w:t>₹1,00,000</w:t>
            </w:r>
          </w:p>
        </w:tc>
        <w:tc>
          <w:tcPr>
            <w:tcW w:w="1715" w:type="dxa"/>
            <w:tcMar>
              <w:top w:w="90" w:type="dxa"/>
              <w:left w:w="120" w:type="dxa"/>
              <w:bottom w:w="90" w:type="dxa"/>
              <w:right w:w="120" w:type="dxa"/>
            </w:tcMar>
          </w:tcPr>
          <w:p>
            <w:pPr>
              <w:spacing w:after="0" w:line="280" w:lineRule="auto"/>
            </w:pPr>
            <w:r>
              <w:t>Development team</w:t>
            </w:r>
          </w:p>
        </w:tc>
        <w:tc>
          <w:tcPr>
            <w:tcW w:w="3938" w:type="dxa"/>
            <w:tcMar>
              <w:top w:w="90" w:type="dxa"/>
              <w:left w:w="120" w:type="dxa"/>
              <w:bottom w:w="90" w:type="dxa"/>
              <w:right w:w="120" w:type="dxa"/>
            </w:tcMar>
          </w:tcPr>
          <w:p>
            <w:pPr>
              <w:spacing w:after="0" w:line="280" w:lineRule="auto"/>
            </w:pPr>
            <w:r>
              <w:t>Includes Android electrician app, admin panel, backend/API, QR logic, BUSY integration workflow, and pilot deployment. Taxes, if applicable, to be confirmed separately.</w:t>
            </w:r>
          </w:p>
        </w:tc>
      </w:tr>
    </w:tbl>
    <w:p>
      <w:pPr>
        <w:spacing w:after="80" w:line="280" w:lineRule="auto"/>
      </w:pPr>
      <w:r>
        <w:t/>
      </w:r>
    </w:p>
    <w:p>
      <w:pPr>
        <w:pStyle w:val="Heading2"/>
        <w:keepNext/>
      </w:pPr>
      <w:r>
        <w:t>6.2 Client-Borne Pilot Costs</w:t>
      </w:r>
    </w:p>
    <w:tbl>
      <w:tblPr>
        <w:tblW w:w="100%" w:type="pct"/>
        <w:tblBorders>
          <w:top w:val="single" w:sz="6" w:space="0" w:color="CFD8E3"/>
          <w:left w:val="single" w:sz="6" w:space="0" w:color="CFD8E3"/>
          <w:bottom w:val="single" w:sz="6" w:space="0" w:color="CFD8E3"/>
          <w:right w:val="single" w:sz="6" w:space="0" w:color="CFD8E3"/>
          <w:insideH w:val="single" w:sz="6" w:space="0" w:color="CFD8E3"/>
          <w:insideV w:val="single" w:sz="6" w:space="0" w:color="CFD8E3"/>
        </w:tblBorders>
        <w:tblCellMar>
          <w:top w:w="80" w:type="dxa"/>
          <w:left w:w="120" w:type="dxa"/>
          <w:bottom w:w="80" w:type="dxa"/>
          <w:right w:w="120" w:type="dxa"/>
        </w:tblCellMar>
      </w:tblPr>
      <w:tblGrid>
        <w:gridCol w:w="2926"/>
        <w:gridCol w:w="1816"/>
        <w:gridCol w:w="1614"/>
        <w:gridCol w:w="3736"/>
      </w:tblGrid>
      <w:tr>
        <w:tc>
          <w:tcPr>
            <w:tcW w:w="2926" w:type="dxa"/>
            <w:tcMar>
              <w:top w:w="90" w:type="dxa"/>
              <w:left w:w="120" w:type="dxa"/>
              <w:bottom w:w="90" w:type="dxa"/>
              <w:right w:w="120" w:type="dxa"/>
            </w:tcMar>
            <w:shd w:fill="E8EEF5"/>
          </w:tcPr>
          <w:p>
            <w:pPr>
              <w:spacing w:after="0" w:line="280" w:lineRule="auto"/>
            </w:pPr>
            <w:r>
              <w:rPr>
                <w:b/>
              </w:rPr>
              <w:t>Item</w:t>
            </w:r>
          </w:p>
        </w:tc>
        <w:tc>
          <w:tcPr>
            <w:tcW w:w="1816" w:type="dxa"/>
            <w:tcMar>
              <w:top w:w="90" w:type="dxa"/>
              <w:left w:w="120" w:type="dxa"/>
              <w:bottom w:w="90" w:type="dxa"/>
              <w:right w:w="120" w:type="dxa"/>
            </w:tcMar>
            <w:shd w:fill="E8EEF5"/>
          </w:tcPr>
          <w:p>
            <w:pPr>
              <w:spacing w:after="0" w:line="280" w:lineRule="auto"/>
            </w:pPr>
            <w:r>
              <w:rPr>
                <w:b/>
              </w:rPr>
              <w:t>Estimated Cost</w:t>
            </w:r>
          </w:p>
        </w:tc>
        <w:tc>
          <w:tcPr>
            <w:tcW w:w="1614" w:type="dxa"/>
            <w:tcMar>
              <w:top w:w="90" w:type="dxa"/>
              <w:left w:w="120" w:type="dxa"/>
              <w:bottom w:w="90" w:type="dxa"/>
              <w:right w:w="120" w:type="dxa"/>
            </w:tcMar>
            <w:shd w:fill="E8EEF5"/>
          </w:tcPr>
          <w:p>
            <w:pPr>
              <w:spacing w:after="0" w:line="280" w:lineRule="auto"/>
            </w:pPr>
            <w:r>
              <w:rPr>
                <w:b/>
              </w:rPr>
              <w:t>Type</w:t>
            </w:r>
          </w:p>
        </w:tc>
        <w:tc>
          <w:tcPr>
            <w:tcW w:w="3736" w:type="dxa"/>
            <w:tcMar>
              <w:top w:w="90" w:type="dxa"/>
              <w:left w:w="120" w:type="dxa"/>
              <w:bottom w:w="90" w:type="dxa"/>
              <w:right w:w="120" w:type="dxa"/>
            </w:tcMar>
            <w:shd w:fill="E8EEF5"/>
          </w:tcPr>
          <w:p>
            <w:pPr>
              <w:spacing w:after="0" w:line="280" w:lineRule="auto"/>
            </w:pPr>
            <w:r>
              <w:rPr>
                <w:b/>
              </w:rPr>
              <w:t>Notes / Conditions</w:t>
            </w:r>
          </w:p>
        </w:tc>
      </w:tr>
      <w:tr>
        <w:tc>
          <w:tcPr>
            <w:tcW w:w="2926" w:type="dxa"/>
            <w:tcMar>
              <w:top w:w="90" w:type="dxa"/>
              <w:left w:w="120" w:type="dxa"/>
              <w:bottom w:w="90" w:type="dxa"/>
              <w:right w:w="120" w:type="dxa"/>
            </w:tcMar>
          </w:tcPr>
          <w:p>
            <w:pPr>
              <w:spacing w:after="0" w:line="280" w:lineRule="auto"/>
            </w:pPr>
            <w:r>
              <w:t>TSC TE244 QR label printer*</w:t>
            </w:r>
          </w:p>
        </w:tc>
        <w:tc>
          <w:tcPr>
            <w:tcW w:w="1816" w:type="dxa"/>
            <w:tcMar>
              <w:top w:w="90" w:type="dxa"/>
              <w:left w:w="120" w:type="dxa"/>
              <w:bottom w:w="90" w:type="dxa"/>
              <w:right w:w="120" w:type="dxa"/>
            </w:tcMar>
          </w:tcPr>
          <w:p>
            <w:pPr>
              <w:spacing w:after="0" w:line="280" w:lineRule="auto"/>
            </w:pPr>
            <w:r>
              <w:t>₹8,000-₹12,000</w:t>
            </w:r>
          </w:p>
        </w:tc>
        <w:tc>
          <w:tcPr>
            <w:tcW w:w="1614" w:type="dxa"/>
            <w:tcMar>
              <w:top w:w="90" w:type="dxa"/>
              <w:left w:w="120" w:type="dxa"/>
              <w:bottom w:w="90" w:type="dxa"/>
              <w:right w:w="120" w:type="dxa"/>
            </w:tcMar>
          </w:tcPr>
          <w:p>
            <w:pPr>
              <w:spacing w:after="0" w:line="280" w:lineRule="auto"/>
            </w:pPr>
            <w:r>
              <w:t>One-time</w:t>
            </w:r>
          </w:p>
        </w:tc>
        <w:tc>
          <w:tcPr>
            <w:tcW w:w="3736" w:type="dxa"/>
            <w:tcMar>
              <w:top w:w="90" w:type="dxa"/>
              <w:left w:w="120" w:type="dxa"/>
              <w:bottom w:w="90" w:type="dxa"/>
              <w:right w:w="120" w:type="dxa"/>
            </w:tcMar>
          </w:tcPr>
          <w:p>
            <w:pPr>
              <w:spacing w:after="0" w:line="280" w:lineRule="auto"/>
            </w:pPr>
            <w:r>
              <w:t>Recommendation only. Final price depends on vendor quote, GST, warranty, and local availability.</w:t>
            </w:r>
          </w:p>
        </w:tc>
      </w:tr>
      <w:tr>
        <w:tc>
          <w:tcPr>
            <w:tcW w:w="2926" w:type="dxa"/>
            <w:tcMar>
              <w:top w:w="90" w:type="dxa"/>
              <w:left w:w="120" w:type="dxa"/>
              <w:bottom w:w="90" w:type="dxa"/>
              <w:right w:w="120" w:type="dxa"/>
            </w:tcMar>
          </w:tcPr>
          <w:p>
            <w:pPr>
              <w:spacing w:after="0" w:line="280" w:lineRule="auto"/>
            </w:pPr>
            <w:r>
              <w:t>Thermal-transfer QR labels*</w:t>
            </w:r>
          </w:p>
        </w:tc>
        <w:tc>
          <w:tcPr>
            <w:tcW w:w="1816" w:type="dxa"/>
            <w:tcMar>
              <w:top w:w="90" w:type="dxa"/>
              <w:left w:w="120" w:type="dxa"/>
              <w:bottom w:w="90" w:type="dxa"/>
              <w:right w:w="120" w:type="dxa"/>
            </w:tcMar>
          </w:tcPr>
          <w:p>
            <w:pPr>
              <w:spacing w:after="0" w:line="280" w:lineRule="auto"/>
            </w:pPr>
            <w:r>
              <w:t>₹1,000-₹2,500</w:t>
            </w:r>
          </w:p>
        </w:tc>
        <w:tc>
          <w:tcPr>
            <w:tcW w:w="1614" w:type="dxa"/>
            <w:tcMar>
              <w:top w:w="90" w:type="dxa"/>
              <w:left w:w="120" w:type="dxa"/>
              <w:bottom w:w="90" w:type="dxa"/>
              <w:right w:w="120" w:type="dxa"/>
            </w:tcMar>
          </w:tcPr>
          <w:p>
            <w:pPr>
              <w:spacing w:after="0" w:line="280" w:lineRule="auto"/>
            </w:pPr>
            <w:r>
              <w:t>Initial consumable</w:t>
            </w:r>
          </w:p>
        </w:tc>
        <w:tc>
          <w:tcPr>
            <w:tcW w:w="3736" w:type="dxa"/>
            <w:tcMar>
              <w:top w:w="90" w:type="dxa"/>
              <w:left w:w="120" w:type="dxa"/>
              <w:bottom w:w="90" w:type="dxa"/>
              <w:right w:w="120" w:type="dxa"/>
            </w:tcMar>
          </w:tcPr>
          <w:p>
            <w:pPr>
              <w:spacing w:after="0" w:line="280" w:lineRule="auto"/>
            </w:pPr>
            <w:r>
              <w:t>Recommend 50mm x 25mm or 50mm x 30mm adhesive labels. Final cost depends on roll quantity/material.</w:t>
            </w:r>
          </w:p>
        </w:tc>
      </w:tr>
      <w:tr>
        <w:tc>
          <w:tcPr>
            <w:tcW w:w="2926" w:type="dxa"/>
            <w:tcMar>
              <w:top w:w="90" w:type="dxa"/>
              <w:left w:w="120" w:type="dxa"/>
              <w:bottom w:w="90" w:type="dxa"/>
              <w:right w:w="120" w:type="dxa"/>
            </w:tcMar>
          </w:tcPr>
          <w:p>
            <w:pPr>
              <w:spacing w:after="0" w:line="280" w:lineRule="auto"/>
            </w:pPr>
            <w:r>
              <w:t>Wax-resin / wax ribbon*</w:t>
            </w:r>
          </w:p>
        </w:tc>
        <w:tc>
          <w:tcPr>
            <w:tcW w:w="1816" w:type="dxa"/>
            <w:tcMar>
              <w:top w:w="90" w:type="dxa"/>
              <w:left w:w="120" w:type="dxa"/>
              <w:bottom w:w="90" w:type="dxa"/>
              <w:right w:w="120" w:type="dxa"/>
            </w:tcMar>
          </w:tcPr>
          <w:p>
            <w:pPr>
              <w:spacing w:after="0" w:line="280" w:lineRule="auto"/>
            </w:pPr>
            <w:r>
              <w:t>₹500-₹1,500</w:t>
            </w:r>
          </w:p>
        </w:tc>
        <w:tc>
          <w:tcPr>
            <w:tcW w:w="1614" w:type="dxa"/>
            <w:tcMar>
              <w:top w:w="90" w:type="dxa"/>
              <w:left w:w="120" w:type="dxa"/>
              <w:bottom w:w="90" w:type="dxa"/>
              <w:right w:w="120" w:type="dxa"/>
            </w:tcMar>
          </w:tcPr>
          <w:p>
            <w:pPr>
              <w:spacing w:after="0" w:line="280" w:lineRule="auto"/>
            </w:pPr>
            <w:r>
              <w:t>Initial consumable</w:t>
            </w:r>
          </w:p>
        </w:tc>
        <w:tc>
          <w:tcPr>
            <w:tcW w:w="3736" w:type="dxa"/>
            <w:tcMar>
              <w:top w:w="90" w:type="dxa"/>
              <w:left w:w="120" w:type="dxa"/>
              <w:bottom w:w="90" w:type="dxa"/>
              <w:right w:w="120" w:type="dxa"/>
            </w:tcMar>
          </w:tcPr>
          <w:p>
            <w:pPr>
              <w:spacing w:after="0" w:line="280" w:lineRule="auto"/>
            </w:pPr>
            <w:r>
              <w:t>Wax-resin preferred if labels need stronger handling durability.</w:t>
            </w:r>
          </w:p>
        </w:tc>
      </w:tr>
      <w:tr>
        <w:tc>
          <w:tcPr>
            <w:tcW w:w="2926" w:type="dxa"/>
            <w:tcMar>
              <w:top w:w="90" w:type="dxa"/>
              <w:left w:w="120" w:type="dxa"/>
              <w:bottom w:w="90" w:type="dxa"/>
              <w:right w:w="120" w:type="dxa"/>
            </w:tcMar>
          </w:tcPr>
          <w:p>
            <w:pPr>
              <w:spacing w:after="0" w:line="280" w:lineRule="auto"/>
            </w:pPr>
            <w:r>
              <w:t>OTP SMS credits*</w:t>
            </w:r>
          </w:p>
        </w:tc>
        <w:tc>
          <w:tcPr>
            <w:tcW w:w="1816" w:type="dxa"/>
            <w:tcMar>
              <w:top w:w="90" w:type="dxa"/>
              <w:left w:w="120" w:type="dxa"/>
              <w:bottom w:w="90" w:type="dxa"/>
              <w:right w:w="120" w:type="dxa"/>
            </w:tcMar>
          </w:tcPr>
          <w:p>
            <w:pPr>
              <w:spacing w:after="0" w:line="280" w:lineRule="auto"/>
            </w:pPr>
            <w:r>
              <w:t>₹1,475 approx.</w:t>
            </w:r>
          </w:p>
        </w:tc>
        <w:tc>
          <w:tcPr>
            <w:tcW w:w="1614" w:type="dxa"/>
            <w:tcMar>
              <w:top w:w="90" w:type="dxa"/>
              <w:left w:w="120" w:type="dxa"/>
              <w:bottom w:w="90" w:type="dxa"/>
              <w:right w:w="120" w:type="dxa"/>
            </w:tcMar>
          </w:tcPr>
          <w:p>
            <w:pPr>
              <w:spacing w:after="0" w:line="280" w:lineRule="auto"/>
            </w:pPr>
            <w:r>
              <w:t>Prepaid usage</w:t>
            </w:r>
          </w:p>
        </w:tc>
        <w:tc>
          <w:tcPr>
            <w:tcW w:w="3736" w:type="dxa"/>
            <w:tcMar>
              <w:top w:w="90" w:type="dxa"/>
              <w:left w:w="120" w:type="dxa"/>
              <w:bottom w:w="90" w:type="dxa"/>
              <w:right w:w="120" w:type="dxa"/>
            </w:tcMar>
          </w:tcPr>
          <w:p>
            <w:pPr>
              <w:spacing w:after="0" w:line="280" w:lineRule="auto"/>
            </w:pPr>
            <w:r>
              <w:t>MSG91 5,000 OTP pack: ₹1,250 + 18% GST. Pilot usage will be lower, but minimum pack may apply.</w:t>
            </w:r>
          </w:p>
        </w:tc>
      </w:tr>
      <w:tr>
        <w:tc>
          <w:tcPr>
            <w:tcW w:w="2926" w:type="dxa"/>
            <w:tcMar>
              <w:top w:w="90" w:type="dxa"/>
              <w:left w:w="120" w:type="dxa"/>
              <w:bottom w:w="90" w:type="dxa"/>
              <w:right w:w="120" w:type="dxa"/>
            </w:tcMar>
          </w:tcPr>
          <w:p>
            <w:pPr>
              <w:spacing w:after="0" w:line="280" w:lineRule="auto"/>
            </w:pPr>
            <w:r>
              <w:t>Domain name</w:t>
            </w:r>
          </w:p>
        </w:tc>
        <w:tc>
          <w:tcPr>
            <w:tcW w:w="1816" w:type="dxa"/>
            <w:tcMar>
              <w:top w:w="90" w:type="dxa"/>
              <w:left w:w="120" w:type="dxa"/>
              <w:bottom w:w="90" w:type="dxa"/>
              <w:right w:w="120" w:type="dxa"/>
            </w:tcMar>
          </w:tcPr>
          <w:p>
            <w:pPr>
              <w:spacing w:after="0" w:line="280" w:lineRule="auto"/>
            </w:pPr>
            <w:r>
              <w:t>₹1,000-₹2,000/year</w:t>
            </w:r>
          </w:p>
        </w:tc>
        <w:tc>
          <w:tcPr>
            <w:tcW w:w="1614" w:type="dxa"/>
            <w:tcMar>
              <w:top w:w="90" w:type="dxa"/>
              <w:left w:w="120" w:type="dxa"/>
              <w:bottom w:w="90" w:type="dxa"/>
              <w:right w:w="120" w:type="dxa"/>
            </w:tcMar>
          </w:tcPr>
          <w:p>
            <w:pPr>
              <w:spacing w:after="0" w:line="280" w:lineRule="auto"/>
            </w:pPr>
            <w:r>
              <w:t>Annual</w:t>
            </w:r>
          </w:p>
        </w:tc>
        <w:tc>
          <w:tcPr>
            <w:tcW w:w="3736" w:type="dxa"/>
            <w:tcMar>
              <w:top w:w="90" w:type="dxa"/>
              <w:left w:w="120" w:type="dxa"/>
              <w:bottom w:w="90" w:type="dxa"/>
              <w:right w:w="120" w:type="dxa"/>
            </w:tcMar>
          </w:tcPr>
          <w:p>
            <w:pPr>
              <w:spacing w:after="0" w:line="280" w:lineRule="auto"/>
            </w:pPr>
            <w:r>
              <w:t>Optional if client wants branded admin URL. Exact cost depends on .in, .com, or selected domain.</w:t>
            </w:r>
          </w:p>
        </w:tc>
      </w:tr>
      <w:tr>
        <w:tc>
          <w:tcPr>
            <w:tcW w:w="2926" w:type="dxa"/>
            <w:tcMar>
              <w:top w:w="90" w:type="dxa"/>
              <w:left w:w="120" w:type="dxa"/>
              <w:bottom w:w="90" w:type="dxa"/>
              <w:right w:w="120" w:type="dxa"/>
            </w:tcMar>
          </w:tcPr>
          <w:p>
            <w:pPr>
              <w:spacing w:after="0" w:line="280" w:lineRule="auto"/>
            </w:pPr>
            <w:r>
              <w:t>Hosting for admin/API*</w:t>
            </w:r>
          </w:p>
        </w:tc>
        <w:tc>
          <w:tcPr>
            <w:tcW w:w="1816" w:type="dxa"/>
            <w:tcMar>
              <w:top w:w="90" w:type="dxa"/>
              <w:left w:w="120" w:type="dxa"/>
              <w:bottom w:w="90" w:type="dxa"/>
              <w:right w:w="120" w:type="dxa"/>
            </w:tcMar>
          </w:tcPr>
          <w:p>
            <w:pPr>
              <w:spacing w:after="0" w:line="280" w:lineRule="auto"/>
            </w:pPr>
            <w:r>
              <w:t>₹1,900-₹2,200/month</w:t>
            </w:r>
          </w:p>
        </w:tc>
        <w:tc>
          <w:tcPr>
            <w:tcW w:w="1614" w:type="dxa"/>
            <w:tcMar>
              <w:top w:w="90" w:type="dxa"/>
              <w:left w:w="120" w:type="dxa"/>
              <w:bottom w:w="90" w:type="dxa"/>
              <w:right w:w="120" w:type="dxa"/>
            </w:tcMar>
          </w:tcPr>
          <w:p>
            <w:pPr>
              <w:spacing w:after="0" w:line="280" w:lineRule="auto"/>
            </w:pPr>
            <w:r>
              <w:t>Monthly</w:t>
            </w:r>
          </w:p>
        </w:tc>
        <w:tc>
          <w:tcPr>
            <w:tcW w:w="3736" w:type="dxa"/>
            <w:tcMar>
              <w:top w:w="90" w:type="dxa"/>
              <w:left w:w="120" w:type="dxa"/>
              <w:bottom w:w="90" w:type="dxa"/>
              <w:right w:w="120" w:type="dxa"/>
            </w:tcMar>
          </w:tcPr>
          <w:p>
            <w:pPr>
              <w:spacing w:after="0" w:line="280" w:lineRule="auto"/>
            </w:pPr>
            <w:r>
              <w:t>Based on Vercel Pro $20/month + usage at approx. ₹96/USD. Pilot should fit included limits.</w:t>
            </w:r>
          </w:p>
        </w:tc>
      </w:tr>
      <w:tr>
        <w:tc>
          <w:tcPr>
            <w:tcW w:w="2926" w:type="dxa"/>
            <w:tcMar>
              <w:top w:w="90" w:type="dxa"/>
              <w:left w:w="120" w:type="dxa"/>
              <w:bottom w:w="90" w:type="dxa"/>
              <w:right w:w="120" w:type="dxa"/>
            </w:tcMar>
          </w:tcPr>
          <w:p>
            <w:pPr>
              <w:spacing w:after="0" w:line="280" w:lineRule="auto"/>
            </w:pPr>
            <w:r>
              <w:t>Managed PostgreSQL database*</w:t>
            </w:r>
          </w:p>
        </w:tc>
        <w:tc>
          <w:tcPr>
            <w:tcW w:w="1816" w:type="dxa"/>
            <w:tcMar>
              <w:top w:w="90" w:type="dxa"/>
              <w:left w:w="120" w:type="dxa"/>
              <w:bottom w:w="90" w:type="dxa"/>
              <w:right w:w="120" w:type="dxa"/>
            </w:tcMar>
          </w:tcPr>
          <w:p>
            <w:pPr>
              <w:spacing w:after="0" w:line="280" w:lineRule="auto"/>
            </w:pPr>
            <w:r>
              <w:t>₹1,400-₹1,800/month</w:t>
            </w:r>
          </w:p>
        </w:tc>
        <w:tc>
          <w:tcPr>
            <w:tcW w:w="1614" w:type="dxa"/>
            <w:tcMar>
              <w:top w:w="90" w:type="dxa"/>
              <w:left w:w="120" w:type="dxa"/>
              <w:bottom w:w="90" w:type="dxa"/>
              <w:right w:w="120" w:type="dxa"/>
            </w:tcMar>
          </w:tcPr>
          <w:p>
            <w:pPr>
              <w:spacing w:after="0" w:line="280" w:lineRule="auto"/>
            </w:pPr>
            <w:r>
              <w:t>Monthly</w:t>
            </w:r>
          </w:p>
        </w:tc>
        <w:tc>
          <w:tcPr>
            <w:tcW w:w="3736" w:type="dxa"/>
            <w:tcMar>
              <w:top w:w="90" w:type="dxa"/>
              <w:left w:w="120" w:type="dxa"/>
              <w:bottom w:w="90" w:type="dxa"/>
              <w:right w:w="120" w:type="dxa"/>
            </w:tcMar>
          </w:tcPr>
          <w:p>
            <w:pPr>
              <w:spacing w:after="0" w:line="280" w:lineRule="auto"/>
            </w:pPr>
            <w:r>
              <w:t>Based on Neon Launch approx. $15/month. Free tier may work for demo; paid plan is safer for pilot reliability.</w:t>
            </w:r>
          </w:p>
        </w:tc>
      </w:tr>
    </w:tbl>
    <w:p>
      <w:pPr>
        <w:spacing w:after="80" w:line="280" w:lineRule="auto"/>
      </w:pPr>
      <w:r>
        <w:t/>
      </w:r>
    </w:p>
    <w:p>
      <w:pPr>
        <w:pStyle w:val="Heading2"/>
        <w:keepNext/>
      </w:pPr>
      <w:r>
        <w:t>6.3 Estimated Pilot Budget</w:t>
      </w:r>
    </w:p>
    <w:tbl>
      <w:tblPr>
        <w:tblW w:w="100%" w:type="pct"/>
        <w:tblBorders>
          <w:top w:val="single" w:sz="6" w:space="0" w:color="CFD8E3"/>
          <w:left w:val="single" w:sz="6" w:space="0" w:color="CFD8E3"/>
          <w:bottom w:val="single" w:sz="6" w:space="0" w:color="CFD8E3"/>
          <w:right w:val="single" w:sz="6" w:space="0" w:color="CFD8E3"/>
          <w:insideH w:val="single" w:sz="6" w:space="0" w:color="CFD8E3"/>
          <w:insideV w:val="single" w:sz="6" w:space="0" w:color="CFD8E3"/>
        </w:tblBorders>
        <w:tblCellMar>
          <w:top w:w="80" w:type="dxa"/>
          <w:left w:w="120" w:type="dxa"/>
          <w:bottom w:w="80" w:type="dxa"/>
          <w:right w:w="120" w:type="dxa"/>
        </w:tblCellMar>
      </w:tblPr>
      <w:tblGrid>
        <w:gridCol w:w="6862"/>
        <w:gridCol w:w="3230"/>
      </w:tblGrid>
      <w:tr>
        <w:tc>
          <w:tcPr>
            <w:tcW w:w="6862" w:type="dxa"/>
            <w:tcMar>
              <w:top w:w="90" w:type="dxa"/>
              <w:left w:w="120" w:type="dxa"/>
              <w:bottom w:w="90" w:type="dxa"/>
              <w:right w:w="120" w:type="dxa"/>
            </w:tcMar>
            <w:shd w:fill="E8EEF5"/>
          </w:tcPr>
          <w:p>
            <w:pPr>
              <w:spacing w:after="0" w:line="280" w:lineRule="auto"/>
            </w:pPr>
            <w:r>
              <w:rPr>
                <w:b/>
              </w:rPr>
              <w:t>Category</w:t>
            </w:r>
          </w:p>
        </w:tc>
        <w:tc>
          <w:tcPr>
            <w:tcW w:w="3230" w:type="dxa"/>
            <w:tcMar>
              <w:top w:w="90" w:type="dxa"/>
              <w:left w:w="120" w:type="dxa"/>
              <w:bottom w:w="90" w:type="dxa"/>
              <w:right w:w="120" w:type="dxa"/>
            </w:tcMar>
            <w:shd w:fill="E8EEF5"/>
          </w:tcPr>
          <w:p>
            <w:pPr>
              <w:spacing w:after="0" w:line="280" w:lineRule="auto"/>
            </w:pPr>
            <w:r>
              <w:rPr>
                <w:b/>
              </w:rPr>
              <w:t>Estimate</w:t>
            </w:r>
          </w:p>
        </w:tc>
      </w:tr>
      <w:tr>
        <w:tc>
          <w:tcPr>
            <w:tcW w:w="6862" w:type="dxa"/>
            <w:tcMar>
              <w:top w:w="90" w:type="dxa"/>
              <w:left w:w="120" w:type="dxa"/>
              <w:bottom w:w="90" w:type="dxa"/>
              <w:right w:w="120" w:type="dxa"/>
            </w:tcMar>
          </w:tcPr>
          <w:p>
            <w:pPr>
              <w:spacing w:after="0" w:line="280" w:lineRule="auto"/>
            </w:pPr>
            <w:r>
              <w:t>Hardware + initial printing consumables</w:t>
            </w:r>
          </w:p>
        </w:tc>
        <w:tc>
          <w:tcPr>
            <w:tcW w:w="3230" w:type="dxa"/>
            <w:tcMar>
              <w:top w:w="90" w:type="dxa"/>
              <w:left w:w="120" w:type="dxa"/>
              <w:bottom w:w="90" w:type="dxa"/>
              <w:right w:w="120" w:type="dxa"/>
            </w:tcMar>
          </w:tcPr>
          <w:p>
            <w:pPr>
              <w:spacing w:after="0" w:line="280" w:lineRule="auto"/>
            </w:pPr>
            <w:r>
              <w:t>₹9,500-₹16,000</w:t>
            </w:r>
          </w:p>
        </w:tc>
      </w:tr>
      <w:tr>
        <w:tc>
          <w:tcPr>
            <w:tcW w:w="6862" w:type="dxa"/>
            <w:tcMar>
              <w:top w:w="90" w:type="dxa"/>
              <w:left w:w="120" w:type="dxa"/>
              <w:bottom w:w="90" w:type="dxa"/>
              <w:right w:w="120" w:type="dxa"/>
            </w:tcMar>
          </w:tcPr>
          <w:p>
            <w:pPr>
              <w:spacing w:after="0" w:line="280" w:lineRule="auto"/>
            </w:pPr>
            <w:r>
              <w:t>OTP initial pack</w:t>
            </w:r>
          </w:p>
        </w:tc>
        <w:tc>
          <w:tcPr>
            <w:tcW w:w="3230" w:type="dxa"/>
            <w:tcMar>
              <w:top w:w="90" w:type="dxa"/>
              <w:left w:w="120" w:type="dxa"/>
              <w:bottom w:w="90" w:type="dxa"/>
              <w:right w:w="120" w:type="dxa"/>
            </w:tcMar>
          </w:tcPr>
          <w:p>
            <w:pPr>
              <w:spacing w:after="0" w:line="280" w:lineRule="auto"/>
            </w:pPr>
            <w:r>
              <w:t>₹1,475 approx.</w:t>
            </w:r>
          </w:p>
        </w:tc>
      </w:tr>
      <w:tr>
        <w:tc>
          <w:tcPr>
            <w:tcW w:w="6862" w:type="dxa"/>
            <w:tcMar>
              <w:top w:w="90" w:type="dxa"/>
              <w:left w:w="120" w:type="dxa"/>
              <w:bottom w:w="90" w:type="dxa"/>
              <w:right w:w="120" w:type="dxa"/>
            </w:tcMar>
          </w:tcPr>
          <w:p>
            <w:pPr>
              <w:spacing w:after="0" w:line="280" w:lineRule="auto"/>
            </w:pPr>
            <w:r>
              <w:t>Domain</w:t>
            </w:r>
          </w:p>
        </w:tc>
        <w:tc>
          <w:tcPr>
            <w:tcW w:w="3230" w:type="dxa"/>
            <w:tcMar>
              <w:top w:w="90" w:type="dxa"/>
              <w:left w:w="120" w:type="dxa"/>
              <w:bottom w:w="90" w:type="dxa"/>
              <w:right w:w="120" w:type="dxa"/>
            </w:tcMar>
          </w:tcPr>
          <w:p>
            <w:pPr>
              <w:spacing w:after="0" w:line="280" w:lineRule="auto"/>
            </w:pPr>
            <w:r>
              <w:t>₹1,000-₹2,000</w:t>
            </w:r>
          </w:p>
        </w:tc>
      </w:tr>
      <w:tr>
        <w:tc>
          <w:tcPr>
            <w:tcW w:w="6862" w:type="dxa"/>
            <w:tcMar>
              <w:top w:w="90" w:type="dxa"/>
              <w:left w:w="120" w:type="dxa"/>
              <w:bottom w:w="90" w:type="dxa"/>
              <w:right w:w="120" w:type="dxa"/>
            </w:tcMar>
          </w:tcPr>
          <w:p>
            <w:pPr>
              <w:spacing w:after="0" w:line="280" w:lineRule="auto"/>
            </w:pPr>
            <w:r>
              <w:t>2 months hosting + database</w:t>
            </w:r>
          </w:p>
        </w:tc>
        <w:tc>
          <w:tcPr>
            <w:tcW w:w="3230" w:type="dxa"/>
            <w:tcMar>
              <w:top w:w="90" w:type="dxa"/>
              <w:left w:w="120" w:type="dxa"/>
              <w:bottom w:w="90" w:type="dxa"/>
              <w:right w:w="120" w:type="dxa"/>
            </w:tcMar>
          </w:tcPr>
          <w:p>
            <w:pPr>
              <w:spacing w:after="0" w:line="280" w:lineRule="auto"/>
            </w:pPr>
            <w:r>
              <w:t>₹6,600-₹8,000</w:t>
            </w:r>
          </w:p>
        </w:tc>
      </w:tr>
      <w:tr>
        <w:tc>
          <w:tcPr>
            <w:tcW w:w="6862" w:type="dxa"/>
            <w:tcMar>
              <w:top w:w="90" w:type="dxa"/>
              <w:left w:w="120" w:type="dxa"/>
              <w:bottom w:w="90" w:type="dxa"/>
              <w:right w:w="120" w:type="dxa"/>
            </w:tcMar>
          </w:tcPr>
          <w:p>
            <w:pPr>
              <w:spacing w:after="0" w:line="280" w:lineRule="auto"/>
            </w:pPr>
            <w:r>
              <w:t>Estimated client-borne pilot costs, excluding development</w:t>
            </w:r>
          </w:p>
        </w:tc>
        <w:tc>
          <w:tcPr>
            <w:tcW w:w="3230" w:type="dxa"/>
            <w:tcMar>
              <w:top w:w="90" w:type="dxa"/>
              <w:left w:w="120" w:type="dxa"/>
              <w:bottom w:w="90" w:type="dxa"/>
              <w:right w:w="120" w:type="dxa"/>
            </w:tcMar>
          </w:tcPr>
          <w:p>
            <w:pPr>
              <w:spacing w:after="0" w:line="280" w:lineRule="auto"/>
            </w:pPr>
            <w:r>
              <w:t>₹18,500-₹27,500 approx.</w:t>
            </w:r>
          </w:p>
        </w:tc>
      </w:tr>
      <w:tr>
        <w:tc>
          <w:tcPr>
            <w:tcW w:w="6862" w:type="dxa"/>
            <w:tcMar>
              <w:top w:w="90" w:type="dxa"/>
              <w:left w:w="120" w:type="dxa"/>
              <w:bottom w:w="90" w:type="dxa"/>
              <w:right w:w="120" w:type="dxa"/>
            </w:tcMar>
          </w:tcPr>
          <w:p>
            <w:pPr>
              <w:spacing w:after="0" w:line="280" w:lineRule="auto"/>
            </w:pPr>
            <w:r>
              <w:t>Development charge</w:t>
            </w:r>
          </w:p>
        </w:tc>
        <w:tc>
          <w:tcPr>
            <w:tcW w:w="3230" w:type="dxa"/>
            <w:tcMar>
              <w:top w:w="90" w:type="dxa"/>
              <w:left w:w="120" w:type="dxa"/>
              <w:bottom w:w="90" w:type="dxa"/>
              <w:right w:w="120" w:type="dxa"/>
            </w:tcMar>
          </w:tcPr>
          <w:p>
            <w:pPr>
              <w:spacing w:after="0" w:line="280" w:lineRule="auto"/>
            </w:pPr>
            <w:r>
              <w:t>₹1,00,000</w:t>
            </w:r>
          </w:p>
        </w:tc>
      </w:tr>
      <w:tr>
        <w:tc>
          <w:tcPr>
            <w:tcW w:w="6862" w:type="dxa"/>
            <w:tcMar>
              <w:top w:w="90" w:type="dxa"/>
              <w:left w:w="120" w:type="dxa"/>
              <w:bottom w:w="90" w:type="dxa"/>
              <w:right w:w="120" w:type="dxa"/>
            </w:tcMar>
          </w:tcPr>
          <w:p>
            <w:pPr>
              <w:spacing w:after="0" w:line="280" w:lineRule="auto"/>
            </w:pPr>
            <w:r>
              <w:t>Estimated total pilot budget</w:t>
            </w:r>
          </w:p>
        </w:tc>
        <w:tc>
          <w:tcPr>
            <w:tcW w:w="3230" w:type="dxa"/>
            <w:tcMar>
              <w:top w:w="90" w:type="dxa"/>
              <w:left w:w="120" w:type="dxa"/>
              <w:bottom w:w="90" w:type="dxa"/>
              <w:right w:w="120" w:type="dxa"/>
            </w:tcMar>
          </w:tcPr>
          <w:p>
            <w:pPr>
              <w:spacing w:after="0" w:line="280" w:lineRule="auto"/>
            </w:pPr>
            <w:r>
              <w:t>₹1,18,500-₹1,27,500 approx.</w:t>
            </w:r>
          </w:p>
        </w:tc>
      </w:tr>
    </w:tbl>
    <w:p>
      <w:pPr>
        <w:spacing w:after="80" w:line="280" w:lineRule="auto"/>
      </w:pPr>
      <w:r>
        <w:t/>
      </w:r>
    </w:p>
    <w:p>
      <w:r>
        <w:rPr>
          <w:i/>
          <w:color w:val="4B5563"/>
          <w:sz w:val="18"/>
          <w:szCs w:val="18"/>
        </w:rPr>
        <w:t>* Recommended client-facing range: ₹1.2L-₹1.3L plus BUSY vendor/customization charges, if any, and actual reward payout budget.</w:t>
      </w:r>
    </w:p>
    <w:p>
      <w:pPr>
        <w:pStyle w:val="Heading1"/>
        <w:keepNext/>
      </w:pPr>
      <w:r>
        <w:t>7. Conditional / Not Included Costs</w:t>
      </w:r>
    </w:p>
    <w:tbl>
      <w:tblPr>
        <w:tblW w:w="100%" w:type="pct"/>
        <w:tblBorders>
          <w:top w:val="single" w:sz="6" w:space="0" w:color="CFD8E3"/>
          <w:left w:val="single" w:sz="6" w:space="0" w:color="CFD8E3"/>
          <w:bottom w:val="single" w:sz="6" w:space="0" w:color="CFD8E3"/>
          <w:right w:val="single" w:sz="6" w:space="0" w:color="CFD8E3"/>
          <w:insideH w:val="single" w:sz="6" w:space="0" w:color="CFD8E3"/>
          <w:insideV w:val="single" w:sz="6" w:space="0" w:color="CFD8E3"/>
        </w:tblBorders>
        <w:tblCellMar>
          <w:top w:w="80" w:type="dxa"/>
          <w:left w:w="120" w:type="dxa"/>
          <w:bottom w:w="80" w:type="dxa"/>
          <w:right w:w="120" w:type="dxa"/>
        </w:tblCellMar>
      </w:tblPr>
      <w:tblGrid>
        <w:gridCol w:w="3229"/>
        <w:gridCol w:w="2321"/>
        <w:gridCol w:w="4542"/>
      </w:tblGrid>
      <w:tr>
        <w:tc>
          <w:tcPr>
            <w:tcW w:w="3229" w:type="dxa"/>
            <w:tcMar>
              <w:top w:w="90" w:type="dxa"/>
              <w:left w:w="120" w:type="dxa"/>
              <w:bottom w:w="90" w:type="dxa"/>
              <w:right w:w="120" w:type="dxa"/>
            </w:tcMar>
            <w:shd w:fill="E8EEF5"/>
          </w:tcPr>
          <w:p>
            <w:pPr>
              <w:spacing w:after="0" w:line="280" w:lineRule="auto"/>
            </w:pPr>
            <w:r>
              <w:rPr>
                <w:b/>
              </w:rPr>
              <w:t>Item</w:t>
            </w:r>
          </w:p>
        </w:tc>
        <w:tc>
          <w:tcPr>
            <w:tcW w:w="2321" w:type="dxa"/>
            <w:tcMar>
              <w:top w:w="90" w:type="dxa"/>
              <w:left w:w="120" w:type="dxa"/>
              <w:bottom w:w="90" w:type="dxa"/>
              <w:right w:w="120" w:type="dxa"/>
            </w:tcMar>
            <w:shd w:fill="E8EEF5"/>
          </w:tcPr>
          <w:p>
            <w:pPr>
              <w:spacing w:after="0" w:line="280" w:lineRule="auto"/>
            </w:pPr>
            <w:r>
              <w:rPr>
                <w:b/>
              </w:rPr>
              <w:t>Estimate</w:t>
            </w:r>
          </w:p>
        </w:tc>
        <w:tc>
          <w:tcPr>
            <w:tcW w:w="4542" w:type="dxa"/>
            <w:tcMar>
              <w:top w:w="90" w:type="dxa"/>
              <w:left w:w="120" w:type="dxa"/>
              <w:bottom w:w="90" w:type="dxa"/>
              <w:right w:w="120" w:type="dxa"/>
            </w:tcMar>
            <w:shd w:fill="E8EEF5"/>
          </w:tcPr>
          <w:p>
            <w:pPr>
              <w:spacing w:after="0" w:line="280" w:lineRule="auto"/>
            </w:pPr>
            <w:r>
              <w:rPr>
                <w:b/>
              </w:rPr>
              <w:t>When It Applies</w:t>
            </w:r>
          </w:p>
        </w:tc>
      </w:tr>
      <w:tr>
        <w:tc>
          <w:tcPr>
            <w:tcW w:w="3229" w:type="dxa"/>
            <w:tcMar>
              <w:top w:w="90" w:type="dxa"/>
              <w:left w:w="120" w:type="dxa"/>
              <w:bottom w:w="90" w:type="dxa"/>
              <w:right w:w="120" w:type="dxa"/>
            </w:tcMar>
          </w:tcPr>
          <w:p>
            <w:pPr>
              <w:spacing w:after="0" w:line="280" w:lineRule="auto"/>
            </w:pPr>
            <w:r>
              <w:t>Local BUSY connector / on-prem bridge</w:t>
            </w:r>
          </w:p>
        </w:tc>
        <w:tc>
          <w:tcPr>
            <w:tcW w:w="2321" w:type="dxa"/>
            <w:tcMar>
              <w:top w:w="90" w:type="dxa"/>
              <w:left w:w="120" w:type="dxa"/>
              <w:bottom w:w="90" w:type="dxa"/>
              <w:right w:w="120" w:type="dxa"/>
            </w:tcMar>
          </w:tcPr>
          <w:p>
            <w:pPr>
              <w:spacing w:after="0" w:line="280" w:lineRule="auto"/>
            </w:pPr>
            <w:r>
              <w:t>Usually included if simple</w:t>
            </w:r>
          </w:p>
        </w:tc>
        <w:tc>
          <w:tcPr>
            <w:tcW w:w="4542" w:type="dxa"/>
            <w:tcMar>
              <w:top w:w="90" w:type="dxa"/>
              <w:left w:w="120" w:type="dxa"/>
              <w:bottom w:w="90" w:type="dxa"/>
              <w:right w:w="120" w:type="dxa"/>
            </w:tcMar>
          </w:tcPr>
          <w:p>
            <w:pPr>
              <w:spacing w:after="0" w:line="280" w:lineRule="auto"/>
            </w:pPr>
            <w:r>
              <w:t>Needed if cloud backend cannot directly reach BUSY local server/API. Extra cost may apply if network/security setup is complex.</w:t>
            </w:r>
          </w:p>
        </w:tc>
      </w:tr>
      <w:tr>
        <w:tc>
          <w:tcPr>
            <w:tcW w:w="3229" w:type="dxa"/>
            <w:tcMar>
              <w:top w:w="90" w:type="dxa"/>
              <w:left w:w="120" w:type="dxa"/>
              <w:bottom w:w="90" w:type="dxa"/>
              <w:right w:w="120" w:type="dxa"/>
            </w:tcMar>
          </w:tcPr>
          <w:p>
            <w:pPr>
              <w:spacing w:after="0" w:line="280" w:lineRule="auto"/>
            </w:pPr>
            <w:r>
              <w:t>BUSY API/customization/vendor support</w:t>
            </w:r>
          </w:p>
        </w:tc>
        <w:tc>
          <w:tcPr>
            <w:tcW w:w="2321" w:type="dxa"/>
            <w:tcMar>
              <w:top w:w="90" w:type="dxa"/>
              <w:left w:w="120" w:type="dxa"/>
              <w:bottom w:w="90" w:type="dxa"/>
              <w:right w:w="120" w:type="dxa"/>
            </w:tcMar>
          </w:tcPr>
          <w:p>
            <w:pPr>
              <w:spacing w:after="0" w:line="280" w:lineRule="auto"/>
            </w:pPr>
            <w:r>
              <w:t>Vendor quote required</w:t>
            </w:r>
          </w:p>
        </w:tc>
        <w:tc>
          <w:tcPr>
            <w:tcW w:w="4542" w:type="dxa"/>
            <w:tcMar>
              <w:top w:w="90" w:type="dxa"/>
              <w:left w:w="120" w:type="dxa"/>
              <w:bottom w:w="90" w:type="dxa"/>
              <w:right w:w="120" w:type="dxa"/>
            </w:tcMar>
          </w:tcPr>
          <w:p>
            <w:pPr>
              <w:spacing w:after="0" w:line="280" w:lineRule="auto"/>
            </w:pPr>
            <w:r>
              <w:t>Client to bear any BUSY partner charges for SQL/API access, schema support, or integration assistance.</w:t>
            </w:r>
          </w:p>
        </w:tc>
      </w:tr>
      <w:tr>
        <w:tc>
          <w:tcPr>
            <w:tcW w:w="3229" w:type="dxa"/>
            <w:tcMar>
              <w:top w:w="90" w:type="dxa"/>
              <w:left w:w="120" w:type="dxa"/>
              <w:bottom w:w="90" w:type="dxa"/>
              <w:right w:w="120" w:type="dxa"/>
            </w:tcMar>
          </w:tcPr>
          <w:p>
            <w:pPr>
              <w:spacing w:after="0" w:line="280" w:lineRule="auto"/>
            </w:pPr>
            <w:r>
              <w:t>Static IP/VPN/network setup</w:t>
            </w:r>
          </w:p>
        </w:tc>
        <w:tc>
          <w:tcPr>
            <w:tcW w:w="2321" w:type="dxa"/>
            <w:tcMar>
              <w:top w:w="90" w:type="dxa"/>
              <w:left w:w="120" w:type="dxa"/>
              <w:bottom w:w="90" w:type="dxa"/>
              <w:right w:w="120" w:type="dxa"/>
            </w:tcMar>
          </w:tcPr>
          <w:p>
            <w:pPr>
              <w:spacing w:after="0" w:line="280" w:lineRule="auto"/>
            </w:pPr>
            <w:r>
              <w:t>Vendor/ISP quote required</w:t>
            </w:r>
          </w:p>
        </w:tc>
        <w:tc>
          <w:tcPr>
            <w:tcW w:w="4542" w:type="dxa"/>
            <w:tcMar>
              <w:top w:w="90" w:type="dxa"/>
              <w:left w:w="120" w:type="dxa"/>
              <w:bottom w:w="90" w:type="dxa"/>
              <w:right w:w="120" w:type="dxa"/>
            </w:tcMar>
          </w:tcPr>
          <w:p>
            <w:pPr>
              <w:spacing w:after="0" w:line="280" w:lineRule="auto"/>
            </w:pPr>
            <w:r>
              <w:t>Only needed if direct secure access to BUSY server is required and outbound connector sync is not sufficient.</w:t>
            </w:r>
          </w:p>
        </w:tc>
      </w:tr>
      <w:tr>
        <w:tc>
          <w:tcPr>
            <w:tcW w:w="3229" w:type="dxa"/>
            <w:tcMar>
              <w:top w:w="90" w:type="dxa"/>
              <w:left w:w="120" w:type="dxa"/>
              <w:bottom w:w="90" w:type="dxa"/>
              <w:right w:w="120" w:type="dxa"/>
            </w:tcMar>
          </w:tcPr>
          <w:p>
            <w:pPr>
              <w:spacing w:after="0" w:line="280" w:lineRule="auto"/>
            </w:pPr>
            <w:r>
              <w:t>Reward/redemption payout budget</w:t>
            </w:r>
          </w:p>
        </w:tc>
        <w:tc>
          <w:tcPr>
            <w:tcW w:w="2321" w:type="dxa"/>
            <w:tcMar>
              <w:top w:w="90" w:type="dxa"/>
              <w:left w:w="120" w:type="dxa"/>
              <w:bottom w:w="90" w:type="dxa"/>
              <w:right w:w="120" w:type="dxa"/>
            </w:tcMar>
          </w:tcPr>
          <w:p>
            <w:pPr>
              <w:spacing w:after="0" w:line="280" w:lineRule="auto"/>
            </w:pPr>
            <w:r>
              <w:t>Client-defined</w:t>
            </w:r>
          </w:p>
        </w:tc>
        <w:tc>
          <w:tcPr>
            <w:tcW w:w="4542" w:type="dxa"/>
            <w:tcMar>
              <w:top w:w="90" w:type="dxa"/>
              <w:left w:w="120" w:type="dxa"/>
              <w:bottom w:w="90" w:type="dxa"/>
              <w:right w:w="120" w:type="dxa"/>
            </w:tcMar>
          </w:tcPr>
          <w:p>
            <w:pPr>
              <w:spacing w:after="0" w:line="280" w:lineRule="auto"/>
            </w:pPr>
            <w:r>
              <w:t>Points liability, coupons, gifts, UPI payouts, or rewards are business costs and not included in software development.</w:t>
            </w:r>
          </w:p>
        </w:tc>
      </w:tr>
      <w:tr>
        <w:tc>
          <w:tcPr>
            <w:tcW w:w="3229" w:type="dxa"/>
            <w:tcMar>
              <w:top w:w="90" w:type="dxa"/>
              <w:left w:w="120" w:type="dxa"/>
              <w:bottom w:w="90" w:type="dxa"/>
              <w:right w:w="120" w:type="dxa"/>
            </w:tcMar>
          </w:tcPr>
          <w:p>
            <w:pPr>
              <w:spacing w:after="0" w:line="280" w:lineRule="auto"/>
            </w:pPr>
            <w:r>
              <w:t>SMS/WhatsApp notifications beyond OTP</w:t>
            </w:r>
          </w:p>
        </w:tc>
        <w:tc>
          <w:tcPr>
            <w:tcW w:w="2321" w:type="dxa"/>
            <w:tcMar>
              <w:top w:w="90" w:type="dxa"/>
              <w:left w:w="120" w:type="dxa"/>
              <w:bottom w:w="90" w:type="dxa"/>
              <w:right w:w="120" w:type="dxa"/>
            </w:tcMar>
          </w:tcPr>
          <w:p>
            <w:pPr>
              <w:spacing w:after="0" w:line="280" w:lineRule="auto"/>
            </w:pPr>
            <w:r>
              <w:t>Usage-based</w:t>
            </w:r>
          </w:p>
        </w:tc>
        <w:tc>
          <w:tcPr>
            <w:tcW w:w="4542" w:type="dxa"/>
            <w:tcMar>
              <w:top w:w="90" w:type="dxa"/>
              <w:left w:w="120" w:type="dxa"/>
              <w:bottom w:w="90" w:type="dxa"/>
              <w:right w:w="120" w:type="dxa"/>
            </w:tcMar>
          </w:tcPr>
          <w:p>
            <w:pPr>
              <w:spacing w:after="0" w:line="280" w:lineRule="auto"/>
            </w:pPr>
            <w:r>
              <w:t>Only needed if client wants marketing or transactional messages beyond app push notifications.</w:t>
            </w:r>
          </w:p>
        </w:tc>
      </w:tr>
      <w:tr>
        <w:tc>
          <w:tcPr>
            <w:tcW w:w="3229" w:type="dxa"/>
            <w:tcMar>
              <w:top w:w="90" w:type="dxa"/>
              <w:left w:w="120" w:type="dxa"/>
              <w:bottom w:w="90" w:type="dxa"/>
              <w:right w:w="120" w:type="dxa"/>
            </w:tcMar>
          </w:tcPr>
          <w:p>
            <w:pPr>
              <w:spacing w:after="0" w:line="280" w:lineRule="auto"/>
            </w:pPr>
            <w:r>
              <w:t>Play Store publication</w:t>
            </w:r>
          </w:p>
        </w:tc>
        <w:tc>
          <w:tcPr>
            <w:tcW w:w="2321" w:type="dxa"/>
            <w:tcMar>
              <w:top w:w="90" w:type="dxa"/>
              <w:left w:w="120" w:type="dxa"/>
              <w:bottom w:w="90" w:type="dxa"/>
              <w:right w:w="120" w:type="dxa"/>
            </w:tcMar>
          </w:tcPr>
          <w:p>
            <w:pPr>
              <w:spacing w:after="0" w:line="280" w:lineRule="auto"/>
            </w:pPr>
            <w:r>
              <w:t>Not included</w:t>
            </w:r>
          </w:p>
        </w:tc>
        <w:tc>
          <w:tcPr>
            <w:tcW w:w="4542" w:type="dxa"/>
            <w:tcMar>
              <w:top w:w="90" w:type="dxa"/>
              <w:left w:w="120" w:type="dxa"/>
              <w:bottom w:w="90" w:type="dxa"/>
              <w:right w:w="120" w:type="dxa"/>
            </w:tcMar>
          </w:tcPr>
          <w:p>
            <w:pPr>
              <w:spacing w:after="0" w:line="280" w:lineRule="auto"/>
            </w:pPr>
            <w:r>
              <w:t>Pilot uses direct APK/internal testing. Store publication can be estimated separately if required later.</w:t>
            </w:r>
          </w:p>
        </w:tc>
      </w:tr>
    </w:tbl>
    <w:p>
      <w:pPr>
        <w:spacing w:after="80" w:line="280" w:lineRule="auto"/>
      </w:pPr>
      <w:r>
        <w:t/>
      </w:r>
    </w:p>
    <w:p>
      <w:pPr>
        <w:pStyle w:val="Heading1"/>
        <w:keepNext/>
      </w:pPr>
      <w:r>
        <w:t>8. Conditions And Explanations</w:t>
      </w:r>
    </w:p>
    <w:p>
      <w:pPr>
        <w:spacing w:after="80" w:line="280" w:lineRule="auto"/>
        <w:numPr>
          <w:ilvl w:val="0"/>
          <w:numId w:val="1"/>
        </w:numPr>
      </w:pPr>
      <w:r>
        <w:rPr>
          <w:b/>
        </w:rPr>
        <w:t xml:space="preserve">* Printer recommendation: </w:t>
      </w:r>
      <w:r>
        <w:t>TSC TE244 is recommended based on current research for India/Gujarat availability, reliability, QR support, and cost-effectiveness. It is not mandatory; any equivalent thermal-transfer barcode printer can be used after testing.</w:t>
      </w:r>
    </w:p>
    <w:p>
      <w:pPr>
        <w:spacing w:after="80" w:line="280" w:lineRule="auto"/>
        <w:numPr>
          <w:ilvl w:val="0"/>
          <w:numId w:val="1"/>
        </w:numPr>
      </w:pPr>
      <w:r>
        <w:rPr>
          <w:b/>
        </w:rPr>
        <w:t xml:space="preserve">* Label/ribbon estimates: </w:t>
      </w:r>
      <w:r>
        <w:t>Label and ribbon cost depends on selected label size, roll quantity, adhesive quality, and supplier. Final purchase should happen only after sample print and scan testing.</w:t>
      </w:r>
    </w:p>
    <w:p>
      <w:pPr>
        <w:spacing w:after="80" w:line="280" w:lineRule="auto"/>
        <w:numPr>
          <w:ilvl w:val="0"/>
          <w:numId w:val="1"/>
        </w:numPr>
      </w:pPr>
      <w:r>
        <w:rPr>
          <w:b/>
        </w:rPr>
        <w:t xml:space="preserve">* OTP pricing: </w:t>
      </w:r>
      <w:r>
        <w:t>OTP pricing is based on MSG91 public India OTP pricing. DLT registration, sender/template approval, and account setup may be required.</w:t>
      </w:r>
    </w:p>
    <w:p>
      <w:pPr>
        <w:spacing w:after="80" w:line="280" w:lineRule="auto"/>
        <w:numPr>
          <w:ilvl w:val="0"/>
          <w:numId w:val="1"/>
        </w:numPr>
      </w:pPr>
      <w:r>
        <w:rPr>
          <w:b/>
        </w:rPr>
        <w:t xml:space="preserve">* Hosting/database pricing: </w:t>
      </w:r>
      <w:r>
        <w:t>USD-denominated cloud services are estimated at ₹96/USD. Final billing may vary with exchange rate, taxes, and actual usage.</w:t>
      </w:r>
    </w:p>
    <w:p>
      <w:pPr>
        <w:spacing w:after="80" w:line="280" w:lineRule="auto"/>
        <w:numPr>
          <w:ilvl w:val="0"/>
          <w:numId w:val="1"/>
        </w:numPr>
      </w:pPr>
      <w:r>
        <w:rPr>
          <w:b/>
        </w:rPr>
        <w:t xml:space="preserve">* BUSY assumption: </w:t>
      </w:r>
      <w:r>
        <w:t>Current working assumption is that BUSY data is available on a local server through SQL/API access. Final integration effort depends on the actual BUSY version, schema/API, network access, and client security policy.</w:t>
      </w:r>
    </w:p>
    <w:p>
      <w:pPr>
        <w:spacing w:after="80" w:line="280" w:lineRule="auto"/>
        <w:numPr>
          <w:ilvl w:val="0"/>
          <w:numId w:val="1"/>
        </w:numPr>
      </w:pPr>
      <w:r>
        <w:rPr>
          <w:b/>
        </w:rPr>
        <w:t xml:space="preserve">* Timeline condition: </w:t>
      </w:r>
      <w:r>
        <w:t>The 6-week timeline assumes timely access to BUSY data, printer procurement, OTP onboarding, and client feedback.</w:t>
      </w:r>
    </w:p>
    <w:p>
      <w:pPr>
        <w:pStyle w:val="Heading1"/>
        <w:keepNext/>
      </w:pPr>
      <w:r>
        <w:t>9. Assumptions To Confirm Before Build Freeze</w:t>
      </w:r>
    </w:p>
    <w:p>
      <w:pPr>
        <w:spacing w:after="80" w:line="280" w:lineRule="auto"/>
        <w:numPr>
          <w:ilvl w:val="0"/>
          <w:numId w:val="1"/>
        </w:numPr>
      </w:pPr>
      <w:r>
        <w:t>BUSY local server/API access and technical contact are available.</w:t>
      </w:r>
    </w:p>
    <w:p>
      <w:pPr>
        <w:spacing w:after="80" w:line="280" w:lineRule="auto"/>
        <w:numPr>
          <w:ilvl w:val="0"/>
          <w:numId w:val="1"/>
        </w:numPr>
      </w:pPr>
      <w:r>
        <w:t>Client confirms pilot category and SKU list for Wires.</w:t>
      </w:r>
    </w:p>
    <w:p>
      <w:pPr>
        <w:spacing w:after="80" w:line="280" w:lineRule="auto"/>
        <w:numPr>
          <w:ilvl w:val="0"/>
          <w:numId w:val="1"/>
        </w:numPr>
      </w:pPr>
      <w:r>
        <w:t>Client defines QR expiry duration.</w:t>
      </w:r>
    </w:p>
    <w:p>
      <w:pPr>
        <w:spacing w:after="80" w:line="280" w:lineRule="auto"/>
        <w:numPr>
          <w:ilvl w:val="0"/>
          <w:numId w:val="1"/>
        </w:numPr>
      </w:pPr>
      <w:r>
        <w:t>Client defines Bronze/Silver/Gold tier thresholds.</w:t>
      </w:r>
    </w:p>
    <w:p>
      <w:pPr>
        <w:spacing w:after="80" w:line="280" w:lineRule="auto"/>
        <w:numPr>
          <w:ilvl w:val="0"/>
          <w:numId w:val="1"/>
        </w:numPr>
      </w:pPr>
      <w:r>
        <w:t>Client defines redemption rule for pilot: request only, gift/coupon, or manual payout.</w:t>
      </w:r>
    </w:p>
    <w:p>
      <w:pPr>
        <w:spacing w:after="80" w:line="280" w:lineRule="auto"/>
        <w:numPr>
          <w:ilvl w:val="0"/>
          <w:numId w:val="1"/>
        </w:numPr>
      </w:pPr>
      <w:r>
        <w:t>Client provides 5 pilot electrician mobile numbers.</w:t>
      </w:r>
    </w:p>
    <w:p>
      <w:pPr>
        <w:spacing w:after="80" w:line="280" w:lineRule="auto"/>
        <w:numPr>
          <w:ilvl w:val="0"/>
          <w:numId w:val="1"/>
        </w:numPr>
      </w:pPr>
      <w:r>
        <w:t>Client confirms printer vendor quote, warranty, and label size.</w:t>
      </w:r>
    </w:p>
    <w:p>
      <w:pPr>
        <w:pStyle w:val="Heading1"/>
        <w:keepNext/>
      </w:pPr>
      <w:r>
        <w:t>10. Sources Checked</w:t>
      </w:r>
    </w:p>
    <w:p>
      <w:pPr>
        <w:spacing w:after="40" w:line="280" w:lineRule="auto"/>
      </w:pPr>
      <w:r>
        <w:rPr>
          <w:color w:val="374151"/>
          <w:sz w:val="17"/>
          <w:szCs w:val="17"/>
        </w:rPr>
        <w:t>TSC TE244 India listing: https://shop.tscprintersindia.com/product/tsc-te244-barcode-printer/</w:t>
      </w:r>
    </w:p>
    <w:p>
      <w:pPr>
        <w:spacing w:after="40" w:line="280" w:lineRule="auto"/>
      </w:pPr>
      <w:r>
        <w:rPr>
          <w:color w:val="374151"/>
          <w:sz w:val="17"/>
          <w:szCs w:val="17"/>
        </w:rPr>
        <w:t>TSC TE244 Ahmedabad/Gujarat listing: https://www.easo.co.in/barcode-label-printer-tsc-te244.html</w:t>
      </w:r>
    </w:p>
    <w:p>
      <w:pPr>
        <w:spacing w:after="40" w:line="280" w:lineRule="auto"/>
      </w:pPr>
      <w:r>
        <w:rPr>
          <w:color w:val="374151"/>
          <w:sz w:val="17"/>
          <w:szCs w:val="17"/>
        </w:rPr>
        <w:t>MSG91 OTP pricing India: https://msg91.com/in/pricing/otp</w:t>
      </w:r>
    </w:p>
    <w:p>
      <w:pPr>
        <w:spacing w:after="40" w:line="280" w:lineRule="auto"/>
      </w:pPr>
      <w:r>
        <w:rPr>
          <w:color w:val="374151"/>
          <w:sz w:val="17"/>
          <w:szCs w:val="17"/>
        </w:rPr>
        <w:t>Vercel pricing: https://vercel.com/pricing</w:t>
      </w:r>
    </w:p>
    <w:p>
      <w:pPr>
        <w:spacing w:after="40" w:line="280" w:lineRule="auto"/>
      </w:pPr>
      <w:r>
        <w:rPr>
          <w:color w:val="374151"/>
          <w:sz w:val="17"/>
          <w:szCs w:val="17"/>
        </w:rPr>
        <w:t>Neon pricing: https://neon.com/pricing</w:t>
      </w:r>
    </w:p>
    <w:p>
      <w:pPr>
        <w:spacing w:after="40" w:line="280" w:lineRule="auto"/>
      </w:pPr>
      <w:r>
        <w:rPr>
          <w:color w:val="374151"/>
          <w:sz w:val="17"/>
          <w:szCs w:val="17"/>
        </w:rPr>
        <w:t>Firebase pricing / no-cost products: https://firebase.google.com/pricing</w:t>
      </w:r>
    </w:p>
    <w:p>
      <w:pPr>
        <w:spacing w:after="40" w:line="280" w:lineRule="auto"/>
      </w:pPr>
      <w:r>
        <w:rPr>
          <w:color w:val="374151"/>
          <w:sz w:val="17"/>
          <w:szCs w:val="17"/>
        </w:rPr>
        <w:t>Namecheap domain pricing reference: https://www.namecheap.com/domains.aspx</w:t>
      </w:r>
    </w:p>
    <w:p>
      <w:pPr>
        <w:spacing w:before="200" w:line="280" w:lineRule="auto"/>
      </w:pPr>
      <w:r>
        <w:rPr>
          <w:i/>
          <w:color w:val="4B5563"/>
          <w:sz w:val="18"/>
          <w:szCs w:val="18"/>
        </w:rPr>
        <w:t>This document is a pilot estimate, not a final vendor invoice. Hardware, cloud, SMS, domain, reward, and BUSY vendor charges should be confirmed at purchase/onboarding time.</w:t>
      </w:r>
    </w:p>
    <w:sectPr>
      <w:pgSz w:w="11906" w:h="16838"/>
      <w:pgMar w:top="1020" w:right="907" w:bottom="1020" w:left="907" w:header="708" w:footer="708" w:gutter="0"/>
      <w:cols w:space="708"/>
      <w:docGrid w:linePitch="360"/>
    </w:sectPr>
  </w:body>
</w:document>
</file>

<file path=word/numbering.xml><?xml version="1.0" encoding="utf-8"?>
<w:numbering xmlns:w="http://schemas.openxmlformats.org/wordprocessingml/2006/main">
  <w:abstractNum w:abstractNumId="1">
    <w:multiLevelType w:val="hybridMultilevel"/>
    <w:lvl w:ilvl="0">
      <w:start w:val="1"/>
      <w:numFmt w:val="bullet"/>
      <w:lvlText w:val="•"/>
      <w:lvlJc w:val="left"/>
      <w:pPr>
        <w:tabs>
          <w:tab w:val="num" w:pos="720"/>
        </w:tabs>
        <w:ind w:left="720" w:hanging="360"/>
      </w:pPr>
    </w:lvl>
  </w:abstractNum>
  <w:abstractNum w:abstractNumId="2">
    <w:multiLevelType w:val="hybridMultilevel"/>
    <w:lvl w:ilvl="0">
      <w:start w:val="1"/>
      <w:numFmt w:val="decimal"/>
      <w:lvlText w:val="%1."/>
      <w:lvlJc w:val="left"/>
      <w:pPr>
        <w:tabs>
          <w:tab w:val="num" w:pos="720"/>
        </w:tabs>
        <w:ind w:left="720" w:hanging="36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characterSpacingControl w:val="doNotCompress"/>
</w:settings>
</file>

<file path=word/styles.xml><?xml version="1.0" encoding="utf-8"?>
<w:styles xmlns:w="http://schemas.openxmlformats.org/wordprocessingml/2006/main">
  <w:docDefaults>
    <w:rPrDefault>
      <w:rPr>
        <w:rFonts w:ascii="Calibri" w:hAnsi="Calibri"/>
        <w:sz w:val="21"/>
        <w:szCs w:val="21"/>
        <w:color w:val="111827"/>
      </w:rPr>
    </w:rPrDefault>
    <w:pPrDefault>
      <w:pPr>
        <w:spacing w:after="120" w:line="280" w:lineRule="auto"/>
      </w:pPr>
    </w:pPrDefault>
  </w:docDefaults>
  <w:style w:type="paragraph" w:default="1" w:styleId="Normal">
    <w:name w:val="Normal"/>
    <w:qFormat/>
    <w:pPr>
      <w:spacing w:after="120" w:line="280" w:lineRule="auto"/>
    </w:pPr>
    <w:rPr>
      <w:rFonts w:ascii="Calibri" w:hAnsi="Calibri"/>
      <w:sz w:val="21"/>
      <w:szCs w:val="21"/>
    </w:rPr>
  </w:style>
  <w:style w:type="paragraph" w:styleId="Title">
    <w:name w:val="Title"/>
    <w:basedOn w:val="Normal"/>
    <w:next w:val="Normal"/>
    <w:qFormat/>
    <w:pPr>
      <w:spacing w:after="160"/>
    </w:pPr>
    <w:rPr>
      <w:b/>
      <w:rFonts w:ascii="Calibri" w:hAnsi="Calibri"/>
      <w:color w:val="0B2545"/>
      <w:sz w:val="46"/>
      <w:szCs w:val="46"/>
    </w:rPr>
  </w:style>
  <w:style w:type="paragraph" w:styleId="Subtitle">
    <w:name w:val="Subtitle"/>
    <w:basedOn w:val="Normal"/>
    <w:next w:val="Normal"/>
    <w:qFormat/>
    <w:pPr>
      <w:spacing w:after="240" w:line="280" w:lineRule="auto"/>
    </w:pPr>
    <w:rPr>
      <w:rFonts w:ascii="Calibri" w:hAnsi="Calibri"/>
      <w:color w:val="374151"/>
      <w:sz w:val="24"/>
      <w:szCs w:val="24"/>
    </w:rPr>
  </w:style>
  <w:style w:type="paragraph" w:styleId="Heading1">
    <w:name w:val="heading 1"/>
    <w:basedOn w:val="Normal"/>
    <w:next w:val="Normal"/>
    <w:qFormat/>
    <w:pPr>
      <w:keepNext/>
      <w:spacing w:before="320" w:after="160"/>
    </w:pPr>
    <w:rPr>
      <w:b/>
      <w:color w:val="1F4E79"/>
      <w:sz w:val="31"/>
      <w:szCs w:val="31"/>
    </w:rPr>
  </w:style>
  <w:style w:type="paragraph" w:styleId="Heading2">
    <w:name w:val="heading 2"/>
    <w:basedOn w:val="Normal"/>
    <w:next w:val="Normal"/>
    <w:qFormat/>
    <w:pPr>
      <w:keepNext/>
      <w:spacing w:before="240" w:after="120"/>
    </w:pPr>
    <w:rPr>
      <w:b/>
      <w:color w:val="1F4E79"/>
      <w:sz w:val="25"/>
      <w:szCs w:val="25"/>
    </w:rPr>
  </w:style>
  <w:style w:type="paragraph" w:styleId="Heading3">
    <w:name w:val="heading 3"/>
    <w:basedOn w:val="Normal"/>
    <w:next w:val="Normal"/>
    <w:qFormat/>
    <w:pPr>
      <w:keepNext/>
      <w:spacing w:before="160" w:after="80"/>
    </w:pPr>
    <w:rPr>
      <w:b/>
      <w:color w:val="1F4E79"/>
      <w:sz w:val="23"/>
      <w:szCs w:val="23"/>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settings" Target="settings.xml"/>
</Relationships>
</file>