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background" descr="Insighture rose gradient" title="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pPr>
        <w:spacing w:after="4800"/>
      </w:pPr>
      <w:r>
        <w:drawing>
          <wp:inline distT="0" distB="0" distL="0" distR="0">
            <wp:extent cx="1428750" cy="333375"/>
            <wp:effectExtent t="0" r="0" b="0" l="0"/>
            <wp:docPr id="1" name="Insighture" descr="Insighture logo" title="Insigh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33375"/>
                    </a:xfrm>
                    <a:prstGeom prst="rect">
                      <a:avLst/>
                    </a:prstGeom>
                  </pic:spPr>
                </pic:pic>
              </a:graphicData>
            </a:graphic>
          </wp:inline>
        </w:drawing>
      </w:r>
    </w:p>
    <w:p>
      <w:pPr>
        <w:pStyle w:val="Eyebrow"/>
      </w:pPr>
      <w:r>
        <w:rPr>
          <w:color w:val="FFFFFF"/>
        </w:rPr>
        <w:t xml:space="preserve">Platform review</w:t>
      </w:r>
    </w:p>
    <w:p>
      <w:pPr>
        <w:pStyle w:val="Title"/>
      </w:pPr>
      <w:r>
        <w:rPr>
          <w:b/>
          <w:bCs/>
          <w:color w:val="FFFFFF"/>
          <w:sz w:val="72"/>
          <w:szCs w:val="72"/>
        </w:rPr>
        <w:t xml:space="preserve">Modernising for </w:t>
      </w:r>
      <w:r>
        <w:rPr>
          <w:rFonts w:ascii="DM Serif Display" w:cs="DM Serif Display" w:eastAsia="DM Serif Display" w:hAnsi="DM Serif Display"/>
          <w:b w:val="false"/>
          <w:bCs w:val="false"/>
          <w:i/>
          <w:iCs/>
          <w:color w:val="FFFFFF"/>
          <w:sz w:val="72"/>
          <w:szCs w:val="72"/>
        </w:rPr>
        <w:t xml:space="preserve">speed</w:t>
      </w:r>
      <w:r>
        <w:rPr>
          <w:b/>
          <w:bCs/>
          <w:color w:val="FFFFFF"/>
          <w:sz w:val="72"/>
          <w:szCs w:val="72"/>
        </w:rPr>
        <w:t xml:space="preserve"> and control</w:t>
      </w:r>
    </w:p>
    <w:p>
      <w:pPr>
        <w:spacing w:after="2400"/>
      </w:pPr>
      <w:r>
        <w:rPr>
          <w:color w:val="FFFFFF"/>
          <w:sz w:val="28"/>
          <w:szCs w:val="28"/>
        </w:rPr>
        <w:t xml:space="preserve">How the delivery platform performed in the year after migration, and what to do next.</w:t>
      </w:r>
    </w:p>
    <w:p>
      <w:r>
        <w:rPr>
          <w:b/>
          <w:bCs/>
          <w:caps/>
          <w:color w:val="FFFFFF"/>
          <w:spacing w:val="20"/>
          <w:sz w:val="18"/>
          <w:szCs w:val="18"/>
        </w:rPr>
        <w:t xml:space="preserve">October 2026 · Insighture</w:t>
      </w:r>
    </w:p>
    <w:p>
      <w:pPr>
        <w:sectPr>
          <w:pgSz w:w="11906" w:h="16838" w:orient="portrait"/>
          <w:pgMar w:top="1447" w:right="1247" w:bottom="1247" w:left="1247" w:header="600" w:footer="600" w:gutter="0"/>
          <w:pgNumType/>
          <w:docGrid w:linePitch="360"/>
        </w:sectPr>
      </w:pPr>
    </w:p>
    <w:p>
      <w:pPr>
        <w:pStyle w:val="Eyebrow"/>
      </w:pPr>
      <w:r>
        <w:t xml:space="preserve">Executive summary</w:t>
      </w:r>
    </w:p>
    <w:p>
      <w:pPr>
        <w:pStyle w:val="Heading1"/>
      </w:pPr>
      <w:r>
        <w:t xml:space="preserve">Faster releases, </w:t>
      </w:r>
      <w:r>
        <w:rPr>
          <w:rStyle w:val="SerifEmphasis"/>
        </w:rPr>
        <w:t xml:space="preserve">fewer</w:t>
      </w:r>
      <w:r>
        <w:t xml:space="preserve"> failures</w:t>
      </w:r>
    </w:p>
    <w:p>
      <w:pPr>
        <w:pStyle w:val="Lead"/>
      </w:pPr>
      <w:r>
        <w:t xml:space="preserve">In the twelve months since the move to the new platform, the team ships nearly twice as often and fixes problems faster. The gains are real but uneven, and two areas need attention before the next phase.</w:t>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3004"/>
        <w:gridCol w:w="200"/>
        <w:gridCol w:w="3004"/>
        <w:gridCol w:w="200"/>
        <w:gridCol w:w="3004"/>
      </w:tblGrid>
      <w:tr>
        <w:trPr>
          <w:cantSplit/>
        </w:trPr>
        <w:tc>
          <w:tcPr>
            <w:tcW w:type="dxa" w:w="3004"/>
            <w:tcBorders>
              <w:top w:val="none" w:color="FFFFFF" w:sz="0"/>
              <w:left w:val="none" w:color="FFFFFF" w:sz="0"/>
              <w:bottom w:val="none" w:color="FFFFFF" w:sz="0"/>
              <w:right w:val="none" w:color="FFFFFF" w:sz="0"/>
            </w:tcBorders>
            <w:shd w:fill="EEF0F1" w:color="auto" w:val="clear"/>
            <w:tcMar>
              <w:top w:type="dxa" w:w="240"/>
              <w:left w:type="dxa" w:w="240"/>
              <w:bottom w:type="dxa" w:w="240"/>
              <w:right w:type="dxa" w:w="240"/>
            </w:tcMar>
            <w:vAlign w:val="top"/>
          </w:tcPr>
          <w:p>
            <w:pPr>
              <w:spacing w:after="40"/>
            </w:pPr>
            <w:r>
              <w:rPr>
                <w:b/>
                <w:bCs/>
                <w:color w:val="EE4065"/>
                <w:sz w:val="52"/>
                <w:szCs w:val="52"/>
              </w:rPr>
              <w:t xml:space="preserve">47%</w:t>
            </w:r>
          </w:p>
          <w:p>
            <w:pPr>
              <w:spacing w:after="0"/>
            </w:pPr>
            <w:r>
              <w:rPr>
                <w:color w:val="3E4449"/>
                <w:sz w:val="18"/>
                <w:szCs w:val="18"/>
              </w:rPr>
              <w:t xml:space="preserve">shorter lead time for changes</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t xml:space="preserve"/>
            </w:r>
          </w:p>
        </w:tc>
        <w:tc>
          <w:tcPr>
            <w:tcW w:type="dxa" w:w="3004"/>
            <w:tcBorders>
              <w:top w:val="none" w:color="FFFFFF" w:sz="0"/>
              <w:left w:val="none" w:color="FFFFFF" w:sz="0"/>
              <w:bottom w:val="none" w:color="FFFFFF" w:sz="0"/>
              <w:right w:val="none" w:color="FFFFFF" w:sz="0"/>
            </w:tcBorders>
            <w:shd w:fill="EEF0F1" w:color="auto" w:val="clear"/>
            <w:tcMar>
              <w:top w:type="dxa" w:w="240"/>
              <w:left w:type="dxa" w:w="240"/>
              <w:bottom w:type="dxa" w:w="240"/>
              <w:right w:type="dxa" w:w="240"/>
            </w:tcMar>
            <w:vAlign w:val="top"/>
          </w:tcPr>
          <w:p>
            <w:pPr>
              <w:spacing w:after="40"/>
            </w:pPr>
            <w:r>
              <w:rPr>
                <w:b/>
                <w:bCs/>
                <w:color w:val="EE4065"/>
                <w:sz w:val="52"/>
                <w:szCs w:val="52"/>
              </w:rPr>
              <w:t xml:space="preserve">3.2×</w:t>
            </w:r>
          </w:p>
          <w:p>
            <w:pPr>
              <w:spacing w:after="0"/>
            </w:pPr>
            <w:r>
              <w:rPr>
                <w:color w:val="3E4449"/>
                <w:sz w:val="18"/>
                <w:szCs w:val="18"/>
              </w:rPr>
              <w:t xml:space="preserve">more frequent deployments</w:t>
            </w:r>
          </w:p>
        </w:tc>
        <w:tc>
          <w:tcPr>
            <w:tcW w:type="dxa" w:w="2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r>
              <w:t xml:space="preserve"/>
            </w:r>
          </w:p>
        </w:tc>
        <w:tc>
          <w:tcPr>
            <w:tcW w:type="dxa" w:w="3004"/>
            <w:tcBorders>
              <w:top w:val="none" w:color="FFFFFF" w:sz="0"/>
              <w:left w:val="none" w:color="FFFFFF" w:sz="0"/>
              <w:bottom w:val="none" w:color="FFFFFF" w:sz="0"/>
              <w:right w:val="none" w:color="FFFFFF" w:sz="0"/>
            </w:tcBorders>
            <w:shd w:fill="EEF0F1" w:color="auto" w:val="clear"/>
            <w:tcMar>
              <w:top w:type="dxa" w:w="240"/>
              <w:left w:type="dxa" w:w="240"/>
              <w:bottom w:type="dxa" w:w="240"/>
              <w:right w:type="dxa" w:w="240"/>
            </w:tcMar>
            <w:vAlign w:val="top"/>
          </w:tcPr>
          <w:p>
            <w:pPr>
              <w:spacing w:after="40"/>
            </w:pPr>
            <w:r>
              <w:rPr>
                <w:b/>
                <w:bCs/>
                <w:color w:val="EE4065"/>
                <w:sz w:val="52"/>
                <w:szCs w:val="52"/>
              </w:rPr>
              <w:t xml:space="preserve">−38%</w:t>
            </w:r>
          </w:p>
          <w:p>
            <w:pPr>
              <w:spacing w:after="0"/>
            </w:pPr>
            <w:r>
              <w:rPr>
                <w:color w:val="3E4449"/>
                <w:sz w:val="18"/>
                <w:szCs w:val="18"/>
              </w:rPr>
              <w:t xml:space="preserve">change failure rate</w:t>
            </w:r>
          </w:p>
        </w:tc>
      </w:tr>
    </w:tbl>
    <w:p>
      <w:pPr>
        <w:spacing w:after="240"/>
      </w:pPr>
      <w:r>
        <w:t xml:space="preserve"/>
      </w:r>
    </w:p>
    <w:p>
      <w:pPr>
        <w:pStyle w:val="Heading2"/>
      </w:pPr>
      <w:r>
        <w:t xml:space="preserve">What changed</w:t>
      </w:r>
    </w:p>
    <w:p>
      <w:r>
        <w:t xml:space="preserve">Deployment moved from a weekly, manually approved release train to on-demand releases through an automated pipeline. Environments are now created from code, and every change runs the same checks.</w:t>
      </w:r>
    </w:p>
    <w:p>
      <w:pPr>
        <w:pStyle w:val="ListParagraph"/>
        <w:numPr>
          <w:ilvl w:val="0"/>
          <w:numId w:val="2"/>
        </w:numPr>
      </w:pPr>
      <w:r>
        <w:t xml:space="preserve">Lead time for changes fell from 14.2 to 7.5 days.</w:t>
      </w:r>
    </w:p>
    <w:p>
      <w:pPr>
        <w:pStyle w:val="ListParagraph"/>
        <w:numPr>
          <w:ilvl w:val="0"/>
          <w:numId w:val="2"/>
        </w:numPr>
      </w:pPr>
      <w:r>
        <w:t xml:space="preserve">Deployments rose from 4 to 13 a month.</w:t>
      </w:r>
    </w:p>
    <w:p>
      <w:pPr>
        <w:pStyle w:val="ListParagraph"/>
        <w:numPr>
          <w:ilvl w:val="0"/>
          <w:numId w:val="2"/>
        </w:numPr>
      </w:pPr>
      <w:r>
        <w:t xml:space="preserve">Rollbacks now take minutes instead of hours.</w:t>
      </w:r>
    </w:p>
    <w:p>
      <w:pPr>
        <w:pStyle w:val="Heading2"/>
      </w:pPr>
      <w:r>
        <w:t xml:space="preserve">Results by quarter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rPr>
          <w:cantSplit/>
          <w:tblHeader/>
        </w:trPr>
        <w:tc>
          <w:tcPr>
            <w:tcW w:type="dxa" w:w="2353"/>
            <w:tcBorders>
              <w:top w:val="none" w:color="FFFFFF" w:sz="0"/>
              <w:left w:val="none" w:color="FFFFFF" w:sz="0"/>
              <w:bottom w:val="single" w:color="CBD0D3" w:sz="6"/>
              <w:right w:val="none" w:color="FFFFFF" w:sz="0"/>
            </w:tcBorders>
            <w:shd w:fill="EEF0F1" w:color="auto" w:val="clear"/>
            <w:tcMar>
              <w:top w:type="dxa" w:w="80"/>
              <w:left w:type="dxa" w:w="120"/>
              <w:bottom w:type="dxa" w:w="80"/>
              <w:right w:type="dxa" w:w="120"/>
            </w:tcMar>
            <w:vAlign w:val="top"/>
          </w:tcPr>
          <w:p>
            <w:pPr>
              <w:pStyle w:val="TableHeader"/>
              <w:jc w:val="left"/>
            </w:pPr>
            <w:r>
              <w:t xml:space="preserve">Quarter</w:t>
            </w:r>
          </w:p>
        </w:tc>
        <w:tc>
          <w:tcPr>
            <w:tcW w:type="dxa" w:w="2353"/>
            <w:tcBorders>
              <w:top w:val="none" w:color="FFFFFF" w:sz="0"/>
              <w:left w:val="none" w:color="FFFFFF" w:sz="0"/>
              <w:bottom w:val="single" w:color="CBD0D3" w:sz="6"/>
              <w:right w:val="none" w:color="FFFFFF" w:sz="0"/>
            </w:tcBorders>
            <w:shd w:fill="EEF0F1" w:color="auto" w:val="clear"/>
            <w:tcMar>
              <w:top w:type="dxa" w:w="80"/>
              <w:left w:type="dxa" w:w="120"/>
              <w:bottom w:type="dxa" w:w="80"/>
              <w:right w:type="dxa" w:w="120"/>
            </w:tcMar>
            <w:vAlign w:val="top"/>
          </w:tcPr>
          <w:p>
            <w:pPr>
              <w:pStyle w:val="TableHeader"/>
              <w:jc w:val="right"/>
            </w:pPr>
            <w:r>
              <w:t xml:space="preserve">Lead time (days)</w:t>
            </w:r>
          </w:p>
        </w:tc>
        <w:tc>
          <w:tcPr>
            <w:tcW w:type="dxa" w:w="2353"/>
            <w:tcBorders>
              <w:top w:val="none" w:color="FFFFFF" w:sz="0"/>
              <w:left w:val="none" w:color="FFFFFF" w:sz="0"/>
              <w:bottom w:val="single" w:color="CBD0D3" w:sz="6"/>
              <w:right w:val="none" w:color="FFFFFF" w:sz="0"/>
            </w:tcBorders>
            <w:shd w:fill="EEF0F1" w:color="auto" w:val="clear"/>
            <w:tcMar>
              <w:top w:type="dxa" w:w="80"/>
              <w:left w:type="dxa" w:w="120"/>
              <w:bottom w:type="dxa" w:w="80"/>
              <w:right w:type="dxa" w:w="120"/>
            </w:tcMar>
            <w:vAlign w:val="top"/>
          </w:tcPr>
          <w:p>
            <w:pPr>
              <w:pStyle w:val="TableHeader"/>
              <w:jc w:val="right"/>
            </w:pPr>
            <w:r>
              <w:t xml:space="preserve">Deploys / month</w:t>
            </w:r>
          </w:p>
        </w:tc>
        <w:tc>
          <w:tcPr>
            <w:tcW w:type="dxa" w:w="2353"/>
            <w:tcBorders>
              <w:top w:val="none" w:color="FFFFFF" w:sz="0"/>
              <w:left w:val="none" w:color="FFFFFF" w:sz="0"/>
              <w:bottom w:val="single" w:color="CBD0D3" w:sz="6"/>
              <w:right w:val="none" w:color="FFFFFF" w:sz="0"/>
            </w:tcBorders>
            <w:shd w:fill="EEF0F1" w:color="auto" w:val="clear"/>
            <w:tcMar>
              <w:top w:type="dxa" w:w="80"/>
              <w:left w:type="dxa" w:w="120"/>
              <w:bottom w:type="dxa" w:w="80"/>
              <w:right w:type="dxa" w:w="120"/>
            </w:tcMar>
            <w:vAlign w:val="top"/>
          </w:tcPr>
          <w:p>
            <w:pPr>
              <w:pStyle w:val="TableHeader"/>
              <w:jc w:val="right"/>
            </w:pPr>
            <w:r>
              <w:t xml:space="preserve">Failure rate</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Q1 2025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14.2</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4</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21%</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Q2 2025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13.8</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19%</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Q3 2025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11.1</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8</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16%</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Q4 2025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9.4</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10</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14%</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Q1 2026</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8.2</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12</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13%</w:t>
            </w:r>
          </w:p>
        </w:tc>
      </w:tr>
      <w:tr>
        <w:trPr>
          <w:cantSplit/>
        </w:trPr>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left"/>
            </w:pPr>
            <w:r>
              <w:t xml:space="preserve">Q2 2026</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7.5</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13</w:t>
            </w:r>
          </w:p>
        </w:tc>
        <w:tc>
          <w:tcPr>
            <w:tcW w:type="dxa" w:w="2353"/>
            <w:tcBorders>
              <w:top w:val="none" w:color="FFFFFF" w:sz="0"/>
              <w:left w:val="none" w:color="FFFFFF" w:sz="0"/>
              <w:bottom w:val="single" w:color="E1E4E6" w:sz="4"/>
              <w:right w:val="none" w:color="FFFFFF" w:sz="0"/>
            </w:tcBorders>
            <w:tcMar>
              <w:top w:type="dxa" w:w="80"/>
              <w:left w:type="dxa" w:w="120"/>
              <w:bottom w:type="dxa" w:w="80"/>
              <w:right w:type="dxa" w:w="120"/>
            </w:tcMar>
            <w:vAlign w:val="top"/>
          </w:tcPr>
          <w:p>
            <w:pPr>
              <w:pStyle w:val="TableText"/>
              <w:jc w:val="right"/>
            </w:pPr>
            <w:r>
              <w:t xml:space="preserve">13%</w:t>
            </w:r>
          </w:p>
        </w:tc>
      </w:tr>
    </w:tbl>
    <w:p>
      <w:pPr>
        <w:pStyle w:val="Caption"/>
        <w:spacing w:before="80"/>
      </w:pPr>
      <w:r>
        <w:t xml:space="preserve">Source: delivery pipeline telemetry, median per quarter.</w:t>
      </w:r>
    </w:p>
    <w:p>
      <w:pPr>
        <w:spacing w:after="120"/>
      </w:pPr>
      <w:r>
        <w:t xml:space="preserve"/>
      </w:r>
    </w:p>
    <w:tbl>
      <w:tblPr>
        <w:tblW w:type="dxa" w:w="9412"/>
        <w:tblBorders>
          <w:top w:val="none" w:color="FFFFFF" w:sz="0"/>
          <w:left w:val="none" w:color="FFFFFF" w:sz="0"/>
          <w:bottom w:val="none" w:color="FFFFFF" w:sz="0"/>
          <w:right w:val="none" w:color="FFFFFF" w:sz="0"/>
          <w:insideH w:val="single" w:color="auto" w:sz="4"/>
          <w:insideV w:val="single" w:color="auto" w:sz="4"/>
        </w:tblBorders>
      </w:tblPr>
      <w:tblGrid>
        <w:gridCol w:w="9412"/>
      </w:tblGrid>
      <w:tr>
        <w:trPr>
          <w:cantSplit/>
        </w:trPr>
        <w:tc>
          <w:tcPr>
            <w:tcW w:type="dxa" w:w="9412"/>
            <w:tcBorders>
              <w:top w:val="none" w:color="FFFFFF" w:sz="0"/>
              <w:left w:val="none" w:color="FFFFFF" w:sz="0"/>
              <w:bottom w:val="none" w:color="FFFFFF" w:sz="0"/>
              <w:right w:val="none" w:color="FFFFFF" w:sz="0"/>
            </w:tcBorders>
            <w:shd w:fill="08242B" w:color="auto" w:val="clear"/>
            <w:tcMar>
              <w:top w:type="dxa" w:w="300"/>
              <w:left w:type="dxa" w:w="340"/>
              <w:bottom w:type="dxa" w:w="300"/>
              <w:right w:type="dxa" w:w="340"/>
            </w:tcMar>
            <w:vAlign w:val="top"/>
          </w:tcPr>
          <w:p>
            <w:pPr>
              <w:spacing w:after="80"/>
            </w:pPr>
            <w:r>
              <w:rPr>
                <w:b/>
                <w:bCs/>
                <w:caps/>
                <w:color w:val="55D8F2"/>
                <w:spacing w:val="30"/>
                <w:sz w:val="18"/>
                <w:szCs w:val="18"/>
              </w:rPr>
              <w:t xml:space="preserve">Key takeaway</w:t>
            </w:r>
          </w:p>
          <w:p>
            <w:pPr>
              <w:spacing w:after="0" w:line="312"/>
            </w:pPr>
            <w:r>
              <w:rPr>
                <w:color w:val="FFFFFF"/>
                <w:sz w:val="26"/>
                <w:szCs w:val="26"/>
              </w:rPr>
              <w:t xml:space="preserve">The platform has paid for itself in delivery speed. The remaining risk is in testing, not tooling.</w:t>
            </w:r>
          </w:p>
        </w:tc>
      </w:tr>
    </w:tbl>
    <w:p>
      <w:pPr>
        <w:pStyle w:val="Heading2"/>
      </w:pPr>
      <w:r>
        <w:t xml:space="preserve">Where it fell short</w:t>
      </w:r>
    </w:p>
    <w:p>
      <w:r>
        <w:t xml:space="preserve">Automated test coverage grew more slowly than release frequency, so a larger share of defects now reach production before they are caught. Two legacy services were never moved and still need the old release process.</w:t>
      </w:r>
    </w:p>
    <w:p>
      <w:pPr>
        <w:pStyle w:val="Quote"/>
      </w:pPr>
      <w:r>
        <w:t xml:space="preserve">“The pipeline changed how we work. We stopped batching changes because we were afraid of them.”</w:t>
      </w:r>
    </w:p>
    <w:p>
      <w:pPr>
        <w:pStyle w:val="Heading2"/>
      </w:pPr>
      <w:r>
        <w:t xml:space="preserve">Recommendations</w:t>
      </w:r>
    </w:p>
    <w:p>
      <w:pPr>
        <w:pStyle w:val="ListParagraph"/>
        <w:numPr>
          <w:ilvl w:val="0"/>
          <w:numId w:val="3"/>
        </w:numPr>
      </w:pPr>
      <w:r>
        <w:t xml:space="preserve">Raise automated test coverage on the five highest-change services to 80% by Q1.</w:t>
      </w:r>
    </w:p>
    <w:p>
      <w:pPr>
        <w:pStyle w:val="ListParagraph"/>
        <w:numPr>
          <w:ilvl w:val="0"/>
          <w:numId w:val="3"/>
        </w:numPr>
      </w:pPr>
      <w:r>
        <w:t xml:space="preserve">Retire or migrate the two remaining legacy services.</w:t>
      </w:r>
    </w:p>
    <w:p>
      <w:pPr>
        <w:pStyle w:val="ListParagraph"/>
        <w:numPr>
          <w:ilvl w:val="0"/>
          <w:numId w:val="3"/>
        </w:numPr>
      </w:pPr>
      <w:r>
        <w:t xml:space="preserve">Pilot AI-assisted code review on one team and measure defect escape rate.</w:t>
      </w:r>
    </w:p>
    <w:sectPr>
      <w:headerReference w:type="default" r:id="rId6"/>
      <w:footerReference w:type="default" r:id="rId7"/>
      <w:pgSz w:w="11906" w:h="16838" w:orient="portrait"/>
      <w:pgMar w:top="1447" w:right="1247" w:bottom="1247"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6B7278"/>
        <w:sz w:val="16"/>
        <w:szCs w:val="16"/>
      </w:rPr>
      <w:t xml:space="preserve">insighture.com</w:t>
    </w:r>
    <w:r>
      <w:rPr>
        <w:color w:val="6B727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4E6" w:sz="4" w:space="6"/>
      </w:pBdr>
      <w:tabs>
        <w:tab w:val="right" w:pos="9412"/>
      </w:tabs>
    </w:pPr>
    <w:r>
      <w:drawing>
        <wp:inline distT="0" distB="0" distL="0" distR="0">
          <wp:extent cx="666750" cy="161925"/>
          <wp:effectExtent t="0" r="0" b="0" l="0"/>
          <wp:docPr id="1" name="Insighture" descr="Insighture logo" title="Insigh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161925"/>
                  </a:xfrm>
                  <a:prstGeom prst="rect">
                    <a:avLst/>
                  </a:prstGeom>
                </pic:spPr>
              </pic:pic>
            </a:graphicData>
          </a:graphic>
        </wp:inline>
      </w:drawing>
    </w:r>
    <w:r>
      <w:rPr>
        <w:color w:val="6B7278"/>
        <w:sz w:val="16"/>
        <w:szCs w:val="16"/>
      </w:rPr>
      <w:t xml:space="preserve">	Platform review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EE4065"/>
      </w:rPr>
    </w:lvl>
  </w:abstractNum>
  <w:abstractNum w:abstractNumId="3" w15:restartNumberingAfterBreak="0">
    <w:multiLevelType w:val="hybridMultilevel"/>
    <w:lvl w:ilvl="0" w15:tentative="1">
      <w:start w:val="1"/>
      <w:numFmt w:val="decimal"/>
      <w:lvlText w:val="%1."/>
      <w:lvlJc w:val="left"/>
      <w:pPr>
        <w:ind w:left="400" w:hanging="340"/>
      </w:pPr>
      <w:rPr>
        <w:b/>
        <w:bCs/>
        <w:color w:val="EE406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5181A"/>
        <w:sz w:val="21"/>
        <w:szCs w:val="21"/>
      </w:rPr>
    </w:rPrDefault>
    <w:pPrDefault>
      <w:pPr>
        <w:spacing w:after="120" w:line="312"/>
      </w:pPr>
    </w:pPrDefault>
  </w:docDefaults>
  <w:style w:type="paragraph" w:styleId="Title">
    <w:name w:val="Title"/>
    <w:basedOn w:val="Normal"/>
    <w:next w:val="Normal"/>
    <w:qFormat/>
    <w:pPr>
      <w:spacing w:after="160" w:line="264"/>
    </w:pPr>
    <w:rPr>
      <w:rFonts w:ascii="DM Sans" w:cs="DM Sans" w:eastAsia="DM Sans" w:hAnsi="DM Sans"/>
      <w:b/>
      <w:bCs/>
      <w:color w:val="15181A"/>
      <w:sz w:val="56"/>
      <w:szCs w:val="56"/>
    </w:rPr>
  </w:style>
  <w:style w:type="paragraph" w:styleId="Heading1">
    <w:name w:val="Heading 1"/>
    <w:basedOn w:val="Normal"/>
    <w:next w:val="Normal"/>
    <w:qFormat/>
    <w:pPr>
      <w:keepNext/>
      <w:spacing w:before="360" w:after="140" w:line="276"/>
    </w:pPr>
    <w:rPr>
      <w:rFonts w:ascii="DM Sans" w:cs="DM Sans" w:eastAsia="DM Sans" w:hAnsi="DM Sans"/>
      <w:b/>
      <w:bCs/>
      <w:color w:val="15181A"/>
      <w:sz w:val="40"/>
      <w:szCs w:val="40"/>
    </w:rPr>
  </w:style>
  <w:style w:type="paragraph" w:styleId="Heading2">
    <w:name w:val="Heading 2"/>
    <w:basedOn w:val="Normal"/>
    <w:next w:val="Normal"/>
    <w:qFormat/>
    <w:pPr>
      <w:keepNext/>
      <w:spacing w:before="280" w:after="100" w:line="288"/>
    </w:pPr>
    <w:rPr>
      <w:rFonts w:ascii="DM Sans" w:cs="DM Sans" w:eastAsia="DM Sans" w:hAnsi="DM Sans"/>
      <w:b/>
      <w:bCs/>
      <w:color w:val="15181A"/>
      <w:sz w:val="30"/>
      <w:szCs w:val="30"/>
    </w:rPr>
  </w:style>
  <w:style w:type="paragraph" w:styleId="Heading3">
    <w:name w:val="Heading 3"/>
    <w:basedOn w:val="Normal"/>
    <w:next w:val="Normal"/>
    <w:qFormat/>
    <w:pPr>
      <w:keepNext/>
      <w:spacing w:before="200" w:after="80"/>
    </w:pPr>
    <w:rPr>
      <w:rFonts w:ascii="DM Sans" w:cs="DM Sans" w:eastAsia="DM Sans" w:hAnsi="DM Sans"/>
      <w:b/>
      <w:bCs/>
      <w:color w:val="15181A"/>
      <w:sz w:val="24"/>
      <w:szCs w:val="24"/>
    </w:rPr>
  </w:style>
  <w:style w:type="paragraph" w:styleId="Heading4">
    <w:name w:val="Heading 4"/>
    <w:basedOn w:val="Normal"/>
    <w:next w:val="Normal"/>
    <w:qFormat/>
    <w:pPr>
      <w:keepNext/>
      <w:spacing w:before="160" w:after="60"/>
    </w:pPr>
    <w:rPr>
      <w:rFonts w:ascii="DM Sans" w:cs="DM Sans" w:eastAsia="DM Sans" w:hAnsi="DM Sans"/>
      <w:b/>
      <w:bCs/>
      <w:color w:val="15181A"/>
      <w:sz w:val="21"/>
      <w:szCs w:val="21"/>
    </w:rPr>
  </w:style>
  <w:style w:type="paragraph" w:styleId="Heading5">
    <w:name w:val="Heading 5"/>
    <w:basedOn w:val="Normal"/>
    <w:next w:val="Normal"/>
    <w:qFormat/>
    <w:pPr>
      <w:keepNext/>
      <w:spacing w:before="160" w:after="60"/>
    </w:pPr>
    <w:rPr>
      <w:rFonts w:ascii="DM Sans" w:cs="DM Sans" w:eastAsia="DM Sans" w:hAnsi="DM Sans"/>
      <w:b/>
      <w:bCs/>
      <w:color w:val="3E4449"/>
      <w:sz w:val="21"/>
      <w:szCs w:val="21"/>
    </w:rPr>
  </w:style>
  <w:style w:type="paragraph" w:styleId="Heading6">
    <w:name w:val="Heading 6"/>
    <w:basedOn w:val="Normal"/>
    <w:next w:val="Normal"/>
    <w:qFormat/>
    <w:pPr>
      <w:keepNext/>
      <w:spacing w:before="160" w:after="60"/>
    </w:pPr>
    <w:rPr>
      <w:rFonts w:ascii="DM Sans" w:cs="DM Sans" w:eastAsia="DM Sans" w:hAnsi="DM Sans"/>
      <w:b/>
      <w:bCs/>
      <w:caps/>
      <w:color w:val="6B7278"/>
      <w:sz w:val="18"/>
      <w:szCs w:val="1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5181A"/>
      <w:u w:val="single" w:color="15181A"/>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Eyebrow">
    <w:name w:val="Eyebrow"/>
    <w:basedOn w:val="Normal"/>
    <w:next w:val="Heading1"/>
    <w:qFormat/>
    <w:pPr>
      <w:keepNext/>
      <w:spacing w:before="240" w:after="40"/>
    </w:pPr>
    <w:rPr>
      <w:b/>
      <w:bCs/>
      <w:caps/>
      <w:color w:val="B11032"/>
      <w:spacing w:val="30"/>
      <w:sz w:val="18"/>
      <w:szCs w:val="18"/>
    </w:rPr>
  </w:style>
  <w:style w:type="paragraph" w:styleId="Lead">
    <w:name w:val="Lead"/>
    <w:basedOn w:val="Normal"/>
    <w:next w:val="Normal"/>
    <w:qFormat/>
    <w:pPr>
      <w:spacing w:after="200" w:line="324"/>
    </w:pPr>
    <w:rPr>
      <w:color w:val="3E4449"/>
      <w:sz w:val="26"/>
      <w:szCs w:val="26"/>
    </w:rPr>
  </w:style>
  <w:style w:type="paragraph" w:styleId="Subtitle">
    <w:name w:val="Subtitle"/>
    <w:basedOn w:val="Normal"/>
    <w:next w:val="Normal"/>
    <w:qFormat/>
    <w:rPr>
      <w:color w:val="3E4449"/>
      <w:sz w:val="28"/>
      <w:szCs w:val="28"/>
    </w:rPr>
  </w:style>
  <w:style w:type="paragraph" w:styleId="Quote">
    <w:name w:val="Quote"/>
    <w:basedOn w:val="Normal"/>
    <w:next w:val="Normal"/>
    <w:qFormat/>
    <w:pPr>
      <w:spacing w:before="240" w:after="240" w:line="336"/>
      <w:ind w:left="567" w:right="567"/>
    </w:pPr>
    <w:rPr>
      <w:i/>
      <w:iCs/>
      <w:color w:val="15181A"/>
      <w:sz w:val="28"/>
      <w:szCs w:val="28"/>
    </w:rPr>
  </w:style>
  <w:style w:type="paragraph" w:styleId="Caption">
    <w:name w:val="Caption"/>
    <w:basedOn w:val="Normal"/>
    <w:next w:val="Normal"/>
    <w:qFormat/>
    <w:rPr>
      <w:color w:val="6B7278"/>
      <w:sz w:val="16"/>
      <w:szCs w:val="16"/>
    </w:rPr>
  </w:style>
  <w:style w:type="paragraph" w:styleId="TableText">
    <w:name w:val="Table Text"/>
    <w:basedOn w:val="Normal"/>
    <w:qFormat/>
    <w:pPr>
      <w:spacing w:before="60" w:after="60" w:line="264"/>
    </w:pPr>
    <w:rPr>
      <w:sz w:val="18"/>
      <w:szCs w:val="18"/>
    </w:rPr>
  </w:style>
  <w:style w:type="paragraph" w:styleId="TableHeader">
    <w:name w:val="Table Header"/>
    <w:basedOn w:val="TableText"/>
    <w:qFormat/>
    <w:rPr>
      <w:b/>
      <w:bCs/>
      <w:caps/>
      <w:color w:val="555C62"/>
      <w:spacing w:val="10"/>
    </w:rPr>
  </w:style>
  <w:style w:type="character" w:styleId="SerifEmphasis">
    <w:name w:val="Serif Emphasis"/>
    <w:basedOn w:val="DefaultParagraphFont"/>
    <w:uiPriority w:val="99"/>
    <w:unhideWhenUsed/>
    <w:qFormat/>
    <w:rPr>
      <w:rFonts w:ascii="DM Serif Display" w:cs="DM Serif Display" w:eastAsia="DM Serif Display" w:hAnsi="DM Serif Display"/>
      <w:b w:val="false"/>
      <w:bCs w:val="false"/>
      <w:i/>
      <w:iCs/>
      <w:color w:val="EE4065"/>
    </w:rPr>
  </w:style>
  <w:style w:type="character" w:styleId="Strong">
    <w:name w:val="Strong"/>
    <w:basedOn w:val="DefaultParagraphFont"/>
    <w:uiPriority w:val="99"/>
    <w:unhideWhenUsed/>
    <w:qFormat/>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52a4e2168d3c2b5eb3ae3b222cb25ce203e95fc.png"/><Relationship Id="rId9" Type="http://schemas.openxmlformats.org/officeDocument/2006/relationships/image" Target="media/9afe7f44367cfd2e1b1a85ba9331d24538c8fd10.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fa2b2c22d776cee8a03a62d11af7767e82deb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Insighture report</dc:title>
  <dc:creator>Insighture</dc:creator>
  <cp:lastModifiedBy>Un-named</cp:lastModifiedBy>
  <cp:revision>1</cp:revision>
  <dcterms:created xsi:type="dcterms:W3CDTF">2026-10-13T06:38:16.081Z</dcterms:created>
  <dcterms:modified xsi:type="dcterms:W3CDTF">2026-10-13T06:38:16.081Z</dcterms:modified>
</cp:coreProperties>
</file>

<file path=docProps/custom.xml><?xml version="1.0" encoding="utf-8"?>
<Properties xmlns="http://schemas.openxmlformats.org/officeDocument/2006/custom-properties" xmlns:vt="http://schemas.openxmlformats.org/officeDocument/2006/docPropsVTypes"/>
</file>