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v7</w:t>
      </w:r>
      <w:r>
        <w:t xml:space="preserve"> </w:t>
      </w:r>
      <w:r>
        <w:t xml:space="preserve">Figure</w:t>
      </w:r>
      <w:r>
        <w:t xml:space="preserve"> </w:t>
      </w:r>
      <w:r>
        <w:t xml:space="preserve">organization</w:t>
      </w:r>
      <w:r>
        <w:t xml:space="preserve"> </w:t>
      </w:r>
      <w:r>
        <w:t xml:space="preserve">and</w:t>
      </w:r>
      <w:r>
        <w:t xml:space="preserve"> </w:t>
      </w:r>
      <w:r>
        <w:t xml:space="preserve">captions</w:t>
      </w:r>
    </w:p>
    <w:p>
      <w:pPr>
        <w:pStyle w:val="Date"/>
      </w:pPr>
      <w:r>
        <w:t xml:space="preserve">2026-06-11</w:t>
      </w:r>
    </w:p>
    <w:p>
      <w:pPr>
        <w:pStyle w:val="Heading1"/>
      </w:pPr>
      <w:bookmarkStart w:id="20" w:name="v7-figure-index"/>
      <w:r>
        <w:t xml:space="preserve">v7 Figure index</w:t>
      </w:r>
      <w:bookmarkEnd w:id="20"/>
    </w:p>
    <w:p>
      <w:pPr>
        <w:pStyle w:val="FirstParagraph"/>
      </w:pPr>
      <w:r>
        <w:t xml:space="preserve">All figure source code at</w:t>
      </w:r>
      <w:r>
        <w:t xml:space="preserve"> </w:t>
      </w:r>
      <w:r>
        <w:rPr>
          <w:rStyle w:val="VerbatimChar"/>
        </w:rPr>
        <w:t xml:space="preserve">/tmp/v7_figures.py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/tmp/v7_more_figures.py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/tmp/v7_network_figures.py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/tmp/v7_chord_figures.py</w:t>
      </w:r>
      <w:r>
        <w:t xml:space="preserve">; assets at</w:t>
      </w:r>
      <w:r>
        <w:t xml:space="preserve"> </w:t>
      </w:r>
      <w:r>
        <w:rPr>
          <w:rStyle w:val="VerbatimChar"/>
        </w:rPr>
        <w:t xml:space="preserve">/home/jgardner/GIZMO/figures_v7/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Cited 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figure1_pipeline_schematic.png</w:t>
            </w:r>
          </w:p>
        </w:tc>
        <w:tc>
          <w:p>
            <w:pPr>
              <w:pStyle w:val="Compact"/>
              <w:jc w:val="left"/>
            </w:pPr>
            <w:r>
              <w:t xml:space="preserve">Diagram (4-panel)</w:t>
            </w:r>
          </w:p>
        </w:tc>
        <w:tc>
          <w:p>
            <w:pPr>
              <w:pStyle w:val="Compact"/>
              <w:jc w:val="left"/>
            </w:pPr>
            <w:r>
              <w:t xml:space="preserve">§2</w:t>
            </w:r>
          </w:p>
        </w:tc>
        <w:tc>
          <w:p>
            <w:pPr>
              <w:pStyle w:val="Compact"/>
              <w:jc w:val="left"/>
            </w:pPr>
            <w:r>
              <w:t xml:space="preserve">substrate.json + conceptual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figure2_interpretability.png</w:t>
            </w:r>
          </w:p>
        </w:tc>
        <w:tc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v7_interpretability_eval_v4.json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figure3_activation_matrix.png</w:t>
            </w:r>
          </w:p>
        </w:tc>
        <w:tc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p>
            <w:pPr>
              <w:pStyle w:val="Compact"/>
              <w:jc w:val="left"/>
            </w:pPr>
            <w:r>
              <w:t xml:space="preserve">§4.5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v7_basin_activation_matrix.tsv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figure4_basin_survival.png</w:t>
            </w:r>
          </w:p>
        </w:tc>
        <w:tc>
          <w:p>
            <w:pPr>
              <w:pStyle w:val="Compact"/>
              <w:jc w:val="left"/>
            </w:pPr>
            <w:r>
              <w:t xml:space="preserve">Bar charts (4-panel)</w:t>
            </w:r>
          </w:p>
        </w:tc>
        <w:tc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v7_basin_survival_broad.tsv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figure5_f_pca_orthogonal.png</w:t>
            </w:r>
          </w:p>
        </w:tc>
        <w:tc>
          <w:p>
            <w:pPr>
              <w:pStyle w:val="Compact"/>
              <w:jc w:val="left"/>
            </w:pPr>
            <w:r>
              <w:t xml:space="preserve">Bar charts (3-panel)</w:t>
            </w:r>
          </w:p>
        </w:tc>
        <w:tc>
          <w:p>
            <w:pPr>
              <w:pStyle w:val="Compact"/>
              <w:jc w:val="left"/>
            </w:pPr>
            <w:r>
              <w:t xml:space="preserve">§4.4</w:t>
            </w:r>
          </w:p>
        </w:tc>
        <w:tc>
          <w:p>
            <w:pPr>
              <w:pStyle w:val="Compact"/>
              <w:jc w:val="left"/>
            </w:pPr>
            <w:r>
              <w:t xml:space="preserve">inline gene-overlap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figure6_f_vs_pca_per_pc.png</w:t>
            </w:r>
          </w:p>
        </w:tc>
        <w:tc>
          <w:p>
            <w:pPr>
              <w:pStyle w:val="Compact"/>
              <w:jc w:val="left"/>
            </w:pPr>
            <w:r>
              <w:t xml:space="preserve">Line plot (4-panel)</w:t>
            </w:r>
          </w:p>
        </w:tc>
        <w:tc>
          <w:p>
            <w:pPr>
              <w:pStyle w:val="Compact"/>
              <w:jc w:val="left"/>
            </w:pPr>
            <w:r>
              <w:t xml:space="preserve">§4.2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v7_v5_F_per_pc_ablation.json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v7_pca_per_pc_ablation.json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figure7_preprocessing_scope.png</w:t>
            </w:r>
          </w:p>
        </w:tc>
        <w:tc>
          <w:p>
            <w:pPr>
              <w:pStyle w:val="Compact"/>
              <w:jc w:val="left"/>
            </w:pPr>
            <w:r>
              <w:t xml:space="preserve">Bar charts (2-panel)</w:t>
            </w:r>
          </w:p>
        </w:tc>
        <w:tc>
          <w:p>
            <w:pPr>
              <w:pStyle w:val="Compact"/>
              <w:jc w:val="left"/>
            </w:pPr>
            <w:r>
              <w:t xml:space="preserve">§5.1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v7_mito_2hg_degree_null.json</w:t>
            </w:r>
            <w:r>
              <w:t xml:space="preserve"> </w:t>
            </w:r>
            <w:r>
              <w:t xml:space="preserve">+ survival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figure8_oxphos_basin_network.png</w:t>
            </w:r>
          </w:p>
        </w:tc>
        <w:tc>
          <w:p>
            <w:pPr>
              <w:pStyle w:val="Compact"/>
              <w:jc w:val="left"/>
            </w:pPr>
            <w:r>
              <w:t xml:space="preserve">Network graph (2-panel)</w:t>
            </w:r>
          </w:p>
        </w:tc>
        <w:tc>
          <w:p>
            <w:pPr>
              <w:pStyle w:val="Compact"/>
              <w:jc w:val="left"/>
            </w:pPr>
            <w:r>
              <w:t xml:space="preserve">§4.5 + §3.5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v7_basin_conservation.json</w:t>
            </w:r>
            <w:r>
              <w:t xml:space="preserve"> </w:t>
            </w:r>
            <w:r>
              <w:t xml:space="preserve">+ substrate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figure9_filbin_ecm_basin_network.png</w:t>
            </w:r>
          </w:p>
        </w:tc>
        <w:tc>
          <w:p>
            <w:pPr>
              <w:pStyle w:val="Compact"/>
              <w:jc w:val="left"/>
            </w:pPr>
            <w:r>
              <w:t xml:space="preserve">Network graph</w:t>
            </w:r>
          </w:p>
        </w:tc>
        <w:tc>
          <w:p>
            <w:pPr>
              <w:pStyle w:val="Compact"/>
              <w:jc w:val="left"/>
            </w:pPr>
            <w:r>
              <w:t xml:space="preserve">§4.3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v7_basin_conservation.json</w:t>
            </w:r>
            <w:r>
              <w:t xml:space="preserve"> </w:t>
            </w:r>
            <w:r>
              <w:t xml:space="preserve">+ substrate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figure10_chord_conservation.png</w:t>
            </w:r>
          </w:p>
        </w:tc>
        <w:tc>
          <w:p>
            <w:pPr>
              <w:pStyle w:val="Compact"/>
              <w:jc w:val="left"/>
            </w:pPr>
            <w:r>
              <w:t xml:space="preserve">Chord diagram</w:t>
            </w:r>
          </w:p>
        </w:tc>
        <w:tc>
          <w:p>
            <w:pPr>
              <w:pStyle w:val="Compact"/>
              <w:jc w:val="left"/>
            </w:pPr>
            <w:r>
              <w:t xml:space="preserve">§4.5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v7_basin_conservation.json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figure11_patient_f_space.png</w:t>
            </w:r>
          </w:p>
        </w:tc>
        <w:tc>
          <w:p>
            <w:pPr>
              <w:pStyle w:val="Compact"/>
              <w:jc w:val="left"/>
            </w:pPr>
            <w:r>
              <w:t xml:space="preserve">Scatter plot</w:t>
            </w:r>
          </w:p>
        </w:tc>
        <w:tc>
          <w:p>
            <w:pPr>
              <w:pStyle w:val="Compact"/>
              <w:jc w:val="left"/>
            </w:pPr>
            <w:r>
              <w:t xml:space="preserve">§2.4</w:t>
            </w:r>
          </w:p>
        </w:tc>
        <w:tc>
          <w:p>
            <w:pPr>
              <w:pStyle w:val="Compact"/>
              <w:jc w:val="left"/>
            </w:pPr>
            <w:r>
              <w:t xml:space="preserve">11 cohort F matrices</w:t>
            </w:r>
          </w:p>
        </w:tc>
      </w:tr>
    </w:tbl>
    <w:p>
      <w:pPr>
        <w:pStyle w:val="BodyText"/>
      </w:pPr>
      <w:r>
        <w:rPr>
          <w:b/>
        </w:rPr>
        <w:t xml:space="preserve">Visual variety</w:t>
      </w:r>
      <w:r>
        <w:t xml:space="preserve">: 2 heatmaps, 5 bar-chart panels, 1 line plot, 3 network sub-graphs, 1 chord diagram, 1 patient-space scatter, 1 schematic.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figure-captions"/>
      <w:r>
        <w:t xml:space="preserve">Figure captions</w:t>
      </w:r>
      <w:bookmarkEnd w:id="21"/>
    </w:p>
    <w:p>
      <w:pPr>
        <w:pStyle w:val="Heading2"/>
      </w:pPr>
      <w:bookmarkStart w:id="22" w:name="Xf17e57f7d4a912c2fb0080ad30c920726b0d56e"/>
      <w:r>
        <w:t xml:space="preserve">Figure 1 — GIZMO pipeline: substrate construction, MAP projection, β/α decomposition, signed-basin extraction</w:t>
      </w:r>
      <w:bookmarkEnd w:id="22"/>
    </w:p>
    <w:p>
      <w:pPr>
        <w:pStyle w:val="FirstParagraph"/>
      </w:pPr>
      <w:r>
        <w:rPr>
          <w:rStyle w:val="VerbatimChar"/>
        </w:rPr>
        <w:t xml:space="preserve">figure1_pipeline_schematic.png</w:t>
      </w:r>
      <w:r>
        <w:t xml:space="preserve"> </w:t>
      </w:r>
      <w:r>
        <w:t xml:space="preserve">(18 × 5 inches, 150 dpi)</w:t>
      </w:r>
    </w:p>
    <w:p>
      <w:pPr>
        <w:pStyle w:val="BodyText"/>
      </w:pPr>
      <w:r>
        <w:t xml:space="preserve">Four-panel schematic.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(A)</w:t>
      </w:r>
      <w:r>
        <w:t xml:space="preserve"> </w:t>
      </w:r>
      <w:r>
        <w:t xml:space="preserve">Substrate sub-graph showing gene (blue), reaction (orange), and metabolite (green) nodes from a representative connected component of the 38,148-node Reactome + StringDB + HMDB + KEGG merged graph (CC-BY 4.0).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(B)</w:t>
      </w:r>
      <w:r>
        <w:t xml:space="preserve"> </w:t>
      </w:r>
      <w:r>
        <w:t xml:space="preserve">MAP solve equation: data-fidelity + signed-Laplacian smoothness + ridge regularizer; strictly convex with unique F per patient.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(C)</w:t>
      </w:r>
      <w:r>
        <w:t xml:space="preserve"> </w:t>
      </w:r>
      <w:r>
        <w:t xml:space="preserve">β/α decomposition: F_p = β_p × log_PR + α_p, where log_PR is the substrate-fixed log-PageRank direction and α is the orthogonal residual.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(D)</w:t>
      </w:r>
      <w:r>
        <w:t xml:space="preserve"> </w:t>
      </w:r>
      <w:r>
        <w:t xml:space="preserve">Signed-basin extraction: largest connected sub-graph of same-sign top-5% loading nodes; red = positive sign, blue = negative.</w:t>
      </w:r>
    </w:p>
    <w:p>
      <w:pPr>
        <w:pStyle w:val="Heading2"/>
      </w:pPr>
      <w:bookmarkStart w:id="23" w:name="X17754df1828f7d6f8625ccfb87777ba7017c6f2"/>
      <w:r>
        <w:t xml:space="preserve">Figure 2 — Quantitative interpretability evaluation across 11 cohorts</w:t>
      </w:r>
      <w:bookmarkEnd w:id="23"/>
    </w:p>
    <w:p>
      <w:pPr>
        <w:pStyle w:val="FirstParagraph"/>
      </w:pPr>
      <w:r>
        <w:rPr>
          <w:rStyle w:val="VerbatimChar"/>
        </w:rPr>
        <w:t xml:space="preserve">figure2_interpretability.png</w:t>
      </w:r>
      <w:r>
        <w:t xml:space="preserve"> </w:t>
      </w:r>
      <w:r>
        <w:t xml:space="preserve">(11 × 6 inches, 150 dpi)</w:t>
      </w:r>
    </w:p>
    <w:p>
      <w:pPr>
        <w:pStyle w:val="BodyText"/>
      </w:pPr>
      <w:r>
        <w:t xml:space="preserve">AUROC heatmap for 11 cohorts × 5 α-PCs × 2 signs = 110 cells. AUROC of (curated source-paper key-gene membership) vs (signed |loading|), tested against degree- and PageRank-preserving 1000-resample null.</w:t>
      </w:r>
      <w:r>
        <w:t xml:space="preserve"> </w:t>
      </w:r>
      <w:r>
        <w:rPr>
          <w:b/>
        </w:rPr>
        <w:t xml:space="preserve">24 cells significant at p &lt; 0.05 (*) including 17 at p &lt; 0.01 (**).</w:t>
      </w:r>
      <w:r>
        <w:t xml:space="preserve"> </w:t>
      </w:r>
      <w:r>
        <w:rPr>
          <w:b/>
        </w:rPr>
        <w:t xml:space="preserve">10 of 11 cohorts pass at least one cell.</w:t>
      </w:r>
      <w:r>
        <w:t xml:space="preserve"> </w:t>
      </w:r>
      <w:r>
        <w:t xml:space="preserve">Best: Crohn α-PC1+ (AUROC 0.980, p &lt; 0.001 — thiopurine metabolism MPG/APEX1/TPMT/NUDT15); Su_COVID α-PC3+ (0.919 **); TCGA_IDH_glioma α-PC4- (0.874 ** — IDH-mut catalysis axis IDH1/2/D2HGDH/L2HGDH). Color scale RdBu_r with 0.50 as midpoint. Gao_RA fails the panel (AUROC 0.406 below chance — serum proteomic panel doesn’t form coherent substrate sub-graph).</w:t>
      </w:r>
    </w:p>
    <w:p>
      <w:pPr>
        <w:pStyle w:val="Heading2"/>
      </w:pPr>
      <w:bookmarkStart w:id="24" w:name="Xba57192c15c2d0732ceee47da258809e12a9bf5"/>
      <w:r>
        <w:t xml:space="preserve">Figure 3 — Disease × biochemical-neighborhood activation matrix</w:t>
      </w:r>
      <w:bookmarkEnd w:id="24"/>
    </w:p>
    <w:p>
      <w:pPr>
        <w:pStyle w:val="FirstParagraph"/>
      </w:pPr>
      <w:r>
        <w:rPr>
          <w:rStyle w:val="VerbatimChar"/>
        </w:rPr>
        <w:t xml:space="preserve">figure3_activation_matrix.png</w:t>
      </w:r>
      <w:r>
        <w:t xml:space="preserve"> </w:t>
      </w:r>
      <w:r>
        <w:t xml:space="preserve">(14 × 9 inches, 150 dpi)</w:t>
      </w:r>
    </w:p>
    <w:p>
      <w:pPr>
        <w:pStyle w:val="BodyText"/>
      </w:pPr>
      <w:r>
        <w:t xml:space="preserve">Heatmap of basin gene-count per disease cohort × biochemical neighborhood category. 11 cohorts (3 RA, 2 IBD, 2 COVID, 1 BRCA, 1 LUAD, 2 Glioma) × ~14 neighborhood categories.</w:t>
      </w:r>
      <w:r>
        <w:t xml:space="preserve"> </w:t>
      </w:r>
      <w:r>
        <w:rPr>
          <w:b/>
        </w:rPr>
        <w:t xml:space="preserve">149 total basins; 36 conserved cross-cohort at Jaccard ≥ 0.30.</w:t>
      </w:r>
      <w:r>
        <w:t xml:space="preserve"> </w:t>
      </w:r>
      <w:r>
        <w:t xml:space="preserve">Cell annotations: best α-PC × sign carrying each basin per cohort. Conservation graded by biology: housekeeping (ribosome 0.83–0.94 cross-cohort) &gt; canonical disease programs (T cell/MHC 0.28–0.41) &gt; disease-specific subspecialty (Filbin ECM-degradation vs LUAD ECM-structural share 0/19 genes despite both being</w:t>
      </w:r>
      <w:r>
        <w:t xml:space="preserve"> </w:t>
      </w:r>
      <w:r>
        <w:t xml:space="preserve">“</w:t>
      </w:r>
      <w:r>
        <w:t xml:space="preserve">Collagen/ECM</w:t>
      </w:r>
      <w:r>
        <w:t xml:space="preserve">”</w:t>
      </w:r>
      <w:r>
        <w:t xml:space="preserve">).</w:t>
      </w:r>
    </w:p>
    <w:p>
      <w:pPr>
        <w:pStyle w:val="Heading2"/>
      </w:pPr>
      <w:bookmarkStart w:id="25" w:name="Xd052ce47cf0abec3b62df77ac818a9314faceed"/>
      <w:r>
        <w:t xml:space="preserve">Figure 4 — Per-basin patient activation scores → survival/mortality discrimination</w:t>
      </w:r>
      <w:bookmarkEnd w:id="25"/>
    </w:p>
    <w:p>
      <w:pPr>
        <w:pStyle w:val="FirstParagraph"/>
      </w:pPr>
      <w:r>
        <w:rPr>
          <w:rStyle w:val="VerbatimChar"/>
        </w:rPr>
        <w:t xml:space="preserve">figure4_basin_survival.png</w:t>
      </w:r>
      <w:r>
        <w:t xml:space="preserve"> </w:t>
      </w:r>
      <w:r>
        <w:t xml:space="preserve">(13 × 10 inches, 150 dpi)</w:t>
      </w:r>
    </w:p>
    <w:p>
      <w:pPr>
        <w:pStyle w:val="BodyText"/>
      </w:pPr>
      <w:r>
        <w:t xml:space="preserve">Four-panel horizontal bar charts: per-basin Cox C-index (TCGA_LUAD, TCGA_IDH, KMPLOT_BRCA) or AUC (Filbin_COVID 28-day mortality), with F-features 7-ensemble and PCA-on-input reference baselines (dashed lines).</w:t>
      </w:r>
      <w:r>
        <w:t xml:space="preserve"> </w:t>
      </w:r>
      <w:r>
        <w:rPr>
          <w:b/>
        </w:rPr>
        <w:t xml:space="preserve">Filbin_COVID PC1-</w:t>
      </w:r>
      <w:r>
        <w:t xml:space="preserve"> </w:t>
      </w:r>
      <w:r>
        <w:t xml:space="preserve">(proteoglycan + cathepsin + MMP; 7 observed genes) →</w:t>
      </w:r>
      <w:r>
        <w:t xml:space="preserve"> </w:t>
      </w:r>
      <w:r>
        <w:rPr>
          <w:b/>
        </w:rPr>
        <w:t xml:space="preserve">AUC 0.776 exceeds PCA-on-Olink 0.717 by Δ +0.06</w:t>
      </w:r>
      <w:r>
        <w:t xml:space="preserve"> </w:t>
      </w:r>
      <w:r>
        <w:t xml:space="preserve">— only cohort where F-basin BEATS PCA discrimination AND names the mechanism (lung interstitial ECM degradation by neutrophil enzymes). TCGA_LUAD T cell/MHC + complement basin → C 0.608 (beats F-7 ensemble 0.580, ties PCA-on-input 0.599). Ribosome basin (TCGA_LUAD PC2+) → C 0.480 (chance, correctly identifies housekeeping).</w:t>
      </w:r>
    </w:p>
    <w:p>
      <w:pPr>
        <w:pStyle w:val="Heading2"/>
      </w:pPr>
      <w:bookmarkStart w:id="26" w:name="X8a92ad621df560a2853a3e66b8efb50c13d4851"/>
      <w:r>
        <w:t xml:space="preserve">Figure 5 — F-basins and PCA-best-PC select orthogonal gene panels</w:t>
      </w:r>
      <w:bookmarkEnd w:id="26"/>
    </w:p>
    <w:p>
      <w:pPr>
        <w:pStyle w:val="FirstParagraph"/>
      </w:pPr>
      <w:r>
        <w:rPr>
          <w:rStyle w:val="VerbatimChar"/>
        </w:rPr>
        <w:t xml:space="preserve">figure5_f_pca_orthogonal.png</w:t>
      </w:r>
      <w:r>
        <w:t xml:space="preserve"> </w:t>
      </w:r>
      <w:r>
        <w:t xml:space="preserve">(15 × 5.5 inches, 150 dpi)</w:t>
      </w:r>
    </w:p>
    <w:p>
      <w:pPr>
        <w:pStyle w:val="BodyText"/>
      </w:pPr>
      <w:r>
        <w:t xml:space="preserve">Three-panel bar chart: count of genes in (F-basin only / Shared / PCA-PC top-50 only) for each of TCGA_LUAD, TCGA_IDH, Filbin_COVID.</w:t>
      </w:r>
      <w:r>
        <w:t xml:space="preserve"> </w:t>
      </w:r>
      <w:r>
        <w:rPr>
          <w:b/>
        </w:rPr>
        <w:t xml:space="preserve">All three cohorts: ≤ 2 shared genes between F’s best prognostic basin and PCA’s best prognostic component despite comparable discrimination.</w:t>
      </w:r>
      <w:r>
        <w:t xml:space="preserve"> </w:t>
      </w:r>
      <w:r>
        <w:t xml:space="preserve">TCGA_LUAD F-basin = complement immune infiltrate (68g); PCA-PC1 = lung surfactant SFTPC/SCGB1A1 (50g); 2 shared (C6, C7). TCGA_IDH F-basin = ciliary dynein DNAAF (7g); PCA-PC1 = cellular activation CLIC1/S100A11; 0 shared. Filbin F-basin = ECM degradation; PCA-PC1 = organ-damage acute-phase NTproBNP/FGF23/FABP1; 0 shared.</w:t>
      </w:r>
      <w:r>
        <w:t xml:space="preserve"> </w:t>
      </w:r>
      <w:r>
        <w:rPr>
          <w:b/>
        </w:rPr>
        <w:t xml:space="preserve">F and PCA read orthogonal prognostic biology.</w:t>
      </w:r>
    </w:p>
    <w:p>
      <w:pPr>
        <w:pStyle w:val="Heading2"/>
      </w:pPr>
      <w:bookmarkStart w:id="27" w:name="Xd8fd205af4352497594ffdbf7af8d288fc62c79"/>
      <w:r>
        <w:t xml:space="preserve">Figure 6 — Per-α-PC F vs PCA-on-input ablation under matched preprocessing</w:t>
      </w:r>
      <w:bookmarkEnd w:id="27"/>
    </w:p>
    <w:p>
      <w:pPr>
        <w:pStyle w:val="FirstParagraph"/>
      </w:pPr>
      <w:r>
        <w:rPr>
          <w:rStyle w:val="VerbatimChar"/>
        </w:rPr>
        <w:t xml:space="preserve">figure6_f_vs_pca_per_pc.png</w:t>
      </w:r>
      <w:r>
        <w:t xml:space="preserve"> </w:t>
      </w:r>
      <w:r>
        <w:t xml:space="preserve">(15 × 4.5 inches, 150 dpi)</w:t>
      </w:r>
    </w:p>
    <w:p>
      <w:pPr>
        <w:pStyle w:val="BodyText"/>
      </w:pPr>
      <w:r>
        <w:t xml:space="preserve">Four-panel line plot: Cox C-index (or AUC for Filbin) per PC index for F-α-PCs (red) vs PCA-on-input PCs (blue) across 4 survival cohorts. F-α-PCs match or exceed PCA-PCs at the best-single-PC level in all 4: KMPLOT Δ +0.001, TCGA_LUAD Δ +0.033,</w:t>
      </w:r>
      <w:r>
        <w:t xml:space="preserve"> </w:t>
      </w:r>
      <w:r>
        <w:rPr>
          <w:b/>
        </w:rPr>
        <w:t xml:space="preserve">TCGA_IDH +0.138</w:t>
      </w:r>
      <w:r>
        <w:t xml:space="preserve"> </w:t>
      </w:r>
      <w:r>
        <w:t xml:space="preserve">(substrate-projection on IDH-mut catalysis axis), Filbin -0.002. Each panel annotates the best F-PC and best PCA-PC. Substrate-projection’s largest discrimination gain appears where the cohort’s training label aligns with graph-coherent biology.</w:t>
      </w:r>
    </w:p>
    <w:p>
      <w:pPr>
        <w:pStyle w:val="Heading2"/>
      </w:pPr>
      <w:bookmarkStart w:id="28" w:name="X24b3c90ff33968f018f138075598fabe22ff7f5"/>
      <w:r>
        <w:t xml:space="preserve">Figure 7 — Scope conditions: preprocessing choice is task-specific</w:t>
      </w:r>
      <w:bookmarkEnd w:id="28"/>
    </w:p>
    <w:p>
      <w:pPr>
        <w:pStyle w:val="FirstParagraph"/>
      </w:pPr>
      <w:r>
        <w:rPr>
          <w:rStyle w:val="VerbatimChar"/>
        </w:rPr>
        <w:t xml:space="preserve">figure7_preprocessing_scope.png</w:t>
      </w:r>
      <w:r>
        <w:t xml:space="preserve"> </w:t>
      </w:r>
      <w:r>
        <w:t xml:space="preserve">(14 × 5 inches, 150 dpi)</w:t>
      </w:r>
    </w:p>
    <w:p>
      <w:pPr>
        <w:pStyle w:val="BodyText"/>
      </w:pPr>
      <w:r>
        <w:t xml:space="preserve">Two-panel demonstration.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Mitochondrial-2HG anchor rank on TCGA_IDH glioma under canonical preprocessing (rank 6,355, out of top 5%) vs within-patient z-score (rank 26, well within top 5%).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Cox C-index for F-features under z-score vs v5-canonical preprocessing vs PCA-on-substrate-matched-input across KMPLOT_BRCA, TCGA_LUAD, TCGA_IDH.</w:t>
      </w:r>
      <w:r>
        <w:t xml:space="preserve"> </w:t>
      </w:r>
      <w:r>
        <w:rPr>
          <w:b/>
        </w:rPr>
        <w:t xml:space="preserve">Canonical preprocessing preserves inter-patient magnitudes required for magnitude-driven phenotypes (overall survival); z-score destroys magnitudes but recovers within-patient relative-rank signal for subtype/anchor recovery (§3.4).</w:t>
      </w:r>
    </w:p>
    <w:p>
      <w:pPr>
        <w:pStyle w:val="Heading2"/>
      </w:pPr>
      <w:bookmarkStart w:id="29" w:name="X26e158da2523ae0cbe018c2bdf811c150859571"/>
      <w:r>
        <w:t xml:space="preserve">Figure 8 — Mitochondrial OXPHOS basin: same biology surfaces as substrate sub-graph in unrelated cohorts</w:t>
      </w:r>
      <w:bookmarkEnd w:id="29"/>
    </w:p>
    <w:p>
      <w:pPr>
        <w:pStyle w:val="FirstParagraph"/>
      </w:pPr>
      <w:r>
        <w:rPr>
          <w:rStyle w:val="VerbatimChar"/>
        </w:rPr>
        <w:t xml:space="preserve">figure8_oxphos_basin_network.png</w:t>
      </w:r>
      <w:r>
        <w:t xml:space="preserve"> </w:t>
      </w:r>
      <w:r>
        <w:t xml:space="preserve">(15 × 8 inches, 150 dpi)</w:t>
      </w:r>
    </w:p>
    <w:p>
      <w:pPr>
        <w:pStyle w:val="BodyText"/>
      </w:pPr>
      <w:r>
        <w:t xml:space="preserve">Two-panel network sub-graph visualization. TCGA_IDH α-PC3+ (16 gene + 28 reaction nodes; e.g., MT-ND1-6, MT-CO1-3, MT-CYB, COA3, NDUFAF5, PET100, TIMMDC1) and KMPLOT_BRCA α-PC1- (19 gene + 17 reaction nodes; NDUFA10/11, NDUFAF2/5, MT-CO/ND core, MT-CYB) are different cohorts with completely different diseases (high-grade glioma vs ER+ breast cancer) but the same biochemical neighborhood emerges as the dominant α-PC basin. Genes (blue), reactions (orange), metabolites (green). Edges = substrate edges. Cross-cohort Jaccard 0.46.</w:t>
      </w:r>
    </w:p>
    <w:p>
      <w:pPr>
        <w:pStyle w:val="Heading2"/>
      </w:pPr>
      <w:bookmarkStart w:id="30" w:name="X03729da8e3cac0c77a1dc3854c776ed34dcda64"/>
      <w:r>
        <w:t xml:space="preserve">Figure 9 — Filbin_COVID ECM-degradation basin: substrate sub-graph naming a mechanism</w:t>
      </w:r>
      <w:bookmarkEnd w:id="30"/>
    </w:p>
    <w:p>
      <w:pPr>
        <w:pStyle w:val="FirstParagraph"/>
      </w:pPr>
      <w:r>
        <w:rPr>
          <w:rStyle w:val="VerbatimChar"/>
        </w:rPr>
        <w:t xml:space="preserve">figure9_filbin_ecm_basin_network.png</w:t>
      </w:r>
      <w:r>
        <w:t xml:space="preserve"> </w:t>
      </w:r>
      <w:r>
        <w:t xml:space="preserve">(11 × 9 inches, 150 dpi)</w:t>
      </w:r>
    </w:p>
    <w:p>
      <w:pPr>
        <w:pStyle w:val="BodyText"/>
      </w:pPr>
      <w:r>
        <w:t xml:space="preserve">Network visualization of Filbin_COVID α-PC1- basin (19 nodes; 7 genes mappable to Olink). Proteoglycan core (BGN, DCN, ACAN, VCAN, LUM, FMOD, KERA, CSPG4/5) connected to cathepsins (CTSL, CTSK) and matrix metalloproteinases (MMP13, MMP20) via substrate edges.</w:t>
      </w:r>
      <w:r>
        <w:t xml:space="preserve"> </w:t>
      </w:r>
      <w:r>
        <w:rPr>
          <w:b/>
        </w:rPr>
        <w:t xml:space="preserve">The basin is the SUBSTRATE-COHERENT mechanism — neutrophil-derived enzymes degrading lung interstitial proteoglycan matrix — that achieves AUC 0.776 for 28-day mortality (exceeds PCA-on-Olink 0.717 by Δ +0.06).</w:t>
      </w:r>
      <w:r>
        <w:t xml:space="preserve"> </w:t>
      </w:r>
      <w:r>
        <w:t xml:space="preserve">The framework recovers ARDS-pathology biology unsupervised, as a connected substrate sub-graph, named.</w:t>
      </w:r>
    </w:p>
    <w:p>
      <w:pPr>
        <w:pStyle w:val="Heading2"/>
      </w:pPr>
      <w:bookmarkStart w:id="31" w:name="X4f9ab07ef91e4824125320e63aa5e20bb9c13d6"/>
      <w:r>
        <w:t xml:space="preserve">Figure 10 — Cross-cohort basin conservation as a substrate-fixed activation vocabulary</w:t>
      </w:r>
      <w:bookmarkEnd w:id="31"/>
    </w:p>
    <w:p>
      <w:pPr>
        <w:pStyle w:val="FirstParagraph"/>
      </w:pPr>
      <w:r>
        <w:rPr>
          <w:rStyle w:val="VerbatimChar"/>
        </w:rPr>
        <w:t xml:space="preserve">figure10_chord_conservation.png</w:t>
      </w:r>
      <w:r>
        <w:t xml:space="preserve"> </w:t>
      </w:r>
      <w:r>
        <w:t xml:space="preserve">(11 × 11 inches, 150 dpi)</w:t>
      </w:r>
    </w:p>
    <w:p>
      <w:pPr>
        <w:pStyle w:val="BodyText"/>
      </w:pPr>
      <w:r>
        <w:t xml:space="preserve">Circular chord diagram. 11 cohorts as nodes on a circle, colored by disease group (RA = pink, IBD = orange, COVID = blue, breast = green, lung = red, glioma = purple).</w:t>
      </w:r>
      <w:r>
        <w:t xml:space="preserve"> </w:t>
      </w:r>
      <w:r>
        <w:rPr>
          <w:b/>
        </w:rPr>
        <w:t xml:space="preserve">36 conserved basin pairs as chord edges (curves), colored by biology category</w:t>
      </w:r>
      <w:r>
        <w:t xml:space="preserve"> </w:t>
      </w:r>
      <w:r>
        <w:t xml:space="preserve">(ribosome blue, OXPHOS red, T cell/MHC orange, DNA damage purple, collagen green, complement pink, cilia brown). Line width ∝ Jaccard similarity.</w:t>
      </w:r>
      <w:r>
        <w:t xml:space="preserve"> </w:t>
      </w:r>
      <w:r>
        <w:rPr>
          <w:b/>
        </w:rPr>
        <w:t xml:space="preserve">Shows: same biochemical neighborhoods (ribosome, OXPHOS, T cell/MHC, DNA damage) activate across cohorts of unrelated diseases.</w:t>
      </w:r>
      <w:r>
        <w:t xml:space="preserve"> </w:t>
      </w:r>
      <w:r>
        <w:t xml:space="preserve">The substrate’s coordinate system is a shared vocabulary.</w:t>
      </w:r>
    </w:p>
    <w:p>
      <w:pPr>
        <w:pStyle w:val="Heading2"/>
      </w:pPr>
      <w:bookmarkStart w:id="32" w:name="Xd3bae54a463ac9db4d386526936e83fc610a987"/>
      <w:r>
        <w:t xml:space="preserve">Figure 11 — All 2,732 patients from 11 cohorts in shared F-space coordinates</w:t>
      </w:r>
      <w:bookmarkEnd w:id="32"/>
    </w:p>
    <w:p>
      <w:pPr>
        <w:pStyle w:val="FirstParagraph"/>
      </w:pPr>
      <w:r>
        <w:rPr>
          <w:rStyle w:val="VerbatimChar"/>
        </w:rPr>
        <w:t xml:space="preserve">figure11_patient_f_space.png</w:t>
      </w:r>
      <w:r>
        <w:t xml:space="preserve"> </w:t>
      </w:r>
      <w:r>
        <w:t xml:space="preserve">(11 × 9 inches, 150 dpi)</w:t>
      </w:r>
    </w:p>
    <w:p>
      <w:pPr>
        <w:pStyle w:val="BodyText"/>
      </w:pPr>
      <w:r>
        <w:t xml:space="preserve">PCA-2 of L2-normalized patient F-vectors across all 11 deposited cohorts (n = 2,732 patients). Each cohort is a distinct cluster colored by disease group. Top-2 PCs hold 38% of cross-cohort variance.</w:t>
      </w:r>
      <w:r>
        <w:t xml:space="preserve"> </w:t>
      </w:r>
      <w:r>
        <w:rPr>
          <w:b/>
        </w:rPr>
        <w:t xml:space="preserve">Substrate-coordinate disease separation is visible in just 2 dimensions</w:t>
      </w:r>
      <w:r>
        <w:t xml:space="preserve"> </w:t>
      </w:r>
      <w:r>
        <w:t xml:space="preserve">— F-space coordinates carry per-cohort identity that is comparable across cohorts because the basis is shared. This is the patient-side counterpart of Figure 10’s basin-side cross-cohort comparability.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supplementary-figures-deferred-for-v8"/>
      <w:r>
        <w:t xml:space="preserve">Supplementary figures (deferred for v8)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Supp Fig 1</w:t>
      </w:r>
      <w:r>
        <w:t xml:space="preserve">: Phase 2 degree-preserving null sensitivity — null AUROC histograms per cohort × α-PC vs observed AUROC at p = 0.05, 0.01 thresholds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Supp Fig 2</w:t>
      </w:r>
      <w:r>
        <w:t xml:space="preserve">: Per-cohort source-paper key-gene curation table (75 entries; cohort, gene, rationale, confidence)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Supp Fig 3</w:t>
      </w:r>
      <w:r>
        <w:t xml:space="preserve">: Phase 4 pre-registration timestamps + locked prediction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Supp Fig 4</w:t>
      </w:r>
      <w:r>
        <w:t xml:space="preserve">: Reproducibility table — file path → JSON deposit → figure → claim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X210896915d8f9e438fda560258441e447582b81"/>
      <w:r>
        <w:t xml:space="preserve">Reproducibility table (compressed for v7 docx)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 deposit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Figure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10/11 cohorts pass degree-null p&lt;0.05; 7/11 pass pathway-null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check_v7_interpretability_eval.py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check_v7_pathway_matched_null.py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check_v7_hmp2_pathway_null_patch.py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v7_interpretability_eval_v4.json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v7_pathway_matched_null.tsv</w:t>
            </w:r>
          </w:p>
        </w:tc>
        <w:tc>
          <w:p>
            <w:pPr>
              <w:pStyle w:val="Compact"/>
              <w:jc w:val="left"/>
            </w:pPr>
            <w:r>
              <w:t xml:space="preserve">Fig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149 basins, 36 conserved at Jaccard ≥ 0.30 (33 cross-disease, 3 within)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check_v7_basin_conservation.py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v7_basin_conservation.json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v7_basin_conservation_breakdown.tsv</w:t>
            </w:r>
          </w:p>
        </w:tc>
        <w:tc>
          <w:p>
            <w:pPr>
              <w:pStyle w:val="Compact"/>
              <w:jc w:val="left"/>
            </w:pPr>
            <w:r>
              <w:t xml:space="preserve">Fig 3,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Per-basin survival (Filbin AUC 0.776 &gt; PCA 0.717)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check_v7_survival_filbin_covid.py</w:t>
            </w:r>
            <w:r>
              <w:t xml:space="preserve"> </w:t>
            </w:r>
            <w:r>
              <w:t xml:space="preserve">+ inline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v7_survival_filbin_28d.json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v7_basin_survival_broad.tsv</w:t>
            </w:r>
          </w:p>
        </w:tc>
        <w:tc>
          <w:p>
            <w:pPr>
              <w:pStyle w:val="Compact"/>
              <w:jc w:val="left"/>
            </w:pPr>
            <w:r>
              <w:t xml:space="preserve">Fig 4,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F-basin vs PCA gene overlap 0–2/68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check_v7_f_as_feature_selection.py</w:t>
            </w:r>
            <w:r>
              <w:t xml:space="preserve"> </w:t>
            </w:r>
            <w:r>
              <w:t xml:space="preserve">+ inline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v7_f_as_feature_selection.json</w:t>
            </w:r>
          </w:p>
        </w:tc>
        <w:tc>
          <w:p>
            <w:pPr>
              <w:pStyle w:val="Compact"/>
              <w:jc w:val="left"/>
            </w:pPr>
            <w:r>
              <w:t xml:space="preserve">Fig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TCGA_IDH α-PC4 best-single-PC C 0.762 &gt; PCA-PC1 0.624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check_v7_v5_F_per_pc_ablation.py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v7_v5_F_per_pc_ablation.json</w:t>
            </w:r>
          </w:p>
        </w:tc>
        <w:tc>
          <w:p>
            <w:pPr>
              <w:pStyle w:val="Compact"/>
              <w:jc w:val="left"/>
            </w:pPr>
            <w:r>
              <w:t xml:space="preserve">Fig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Z-score 2HG anchor rank 26 (p_degree 0.011)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check_v7_mito_2hg_degree_null.py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v7_mito_2hg_degree_null.json</w:t>
            </w:r>
          </w:p>
        </w:tc>
        <w:tc>
          <w:p>
            <w:pPr>
              <w:pStyle w:val="Compact"/>
              <w:jc w:val="left"/>
            </w:pPr>
            <w:r>
              <w:t xml:space="preserve">Fig 7 §A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solver signed-Laplacian PSD proof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MANUSCRIPT_v7_METHODS_RIGOR.md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§7 Methods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2,732 patients across 11 cohorts in shared F-space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check_v7_make_figures.py</w:t>
            </w:r>
            <w:r>
              <w:t xml:space="preserve"> </w:t>
            </w:r>
            <w:r>
              <w:t xml:space="preserve">from 11 F matrices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_pre_zscore_snapshot_20260607/stage3_F_*.npz</w:t>
            </w:r>
          </w:p>
        </w:tc>
        <w:tc>
          <w:p>
            <w:pPr>
              <w:pStyle w:val="Compact"/>
              <w:jc w:val="left"/>
            </w:pPr>
            <w:r>
              <w:t xml:space="preserve">Fig 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β captures &lt;2% F variance; α-PC ≈ PCA-on-F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check_v7_beta_alpha_ablation.py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F-features vs PCA-on-F discrimination head-to-head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check_v7_beta_discrimination_test.py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β-severity panel across 5 cohorts (Filbin/IDH/BRCA/LUAD)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check_v7_beta_severity_panel.py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5% basin threshold sensitivity (conservation plateau)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check_v7_basin_threshold_sensitivity.py</w:t>
            </w:r>
          </w:p>
        </w:tc>
        <w:tc>
          <w:p>
            <w:pPr>
              <w:pStyle w:val="Compact"/>
              <w:jc w:val="left"/>
            </w:pPr>
            <w:r>
              <w:t xml:space="preserve">inline</w:t>
            </w:r>
          </w:p>
        </w:tc>
        <w:tc>
          <w:p>
            <w:pPr>
              <w:pStyle w:val="Compact"/>
              <w:jc w:val="left"/>
            </w:pPr>
            <w:r>
              <w:t xml:space="preserve">§2.3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s_cohort smoothness statistic across 11 cohorts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check_v7_smoothness_statistic.py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v7_smoothness_diagnostic.tsv</w:t>
            </w:r>
          </w:p>
        </w:tc>
        <w:tc>
          <w:p>
            <w:pPr>
              <w:pStyle w:val="Compact"/>
              <w:jc w:val="left"/>
            </w:pPr>
            <w:r>
              <w:t xml:space="preserve">§5.1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TopPR vs F-α-PC on v7 substrate (overturns v6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‘</w:t>
            </w:r>
            <w:r>
              <w:rPr>
                <w:b/>
              </w:rPr>
              <w:t xml:space="preserve">dominates everywhere</w:t>
            </w:r>
            <w:r>
              <w:rPr>
                <w:b/>
              </w:rPr>
              <w:t xml:space="preserve">’</w:t>
            </w:r>
            <w:r>
              <w:rPr>
                <w:b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check_v7_toppr_comparison.py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v7_toppr_comparison.tsv</w:t>
            </w:r>
          </w:p>
        </w:tc>
        <w:tc>
          <w:p>
            <w:pPr>
              <w:pStyle w:val="Compact"/>
              <w:jc w:val="left"/>
            </w:pPr>
            <w:r>
              <w:t xml:space="preserve">§4.1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WGCNA v14c (corrected same-universe; median ratio 1.02 at proper filter)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unsupervised_stratification/legacy/stage31_v14c_wgcna_same_universe.py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stage31_v14c_wgcna_same_universe.json</w:t>
            </w:r>
          </w:p>
        </w:tc>
        <w:tc>
          <w:p>
            <w:pPr>
              <w:pStyle w:val="Compact"/>
              <w:jc w:val="left"/>
            </w:pPr>
            <w:r>
              <w:t xml:space="preserve">§4.1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v7 Figure organization and captions</dc:title>
  <dc:creator/>
  <cp:keywords/>
  <dcterms:created xsi:type="dcterms:W3CDTF">2026-06-13T15:09:44Z</dcterms:created>
  <dcterms:modified xsi:type="dcterms:W3CDTF">2026-06-13T15:09:44Z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2026-06-11</vt:lpwstr>
  </property>
  <property fmtid="{D5CDD505-2E9C-101B-9397-08002B2CF9AE}" pid="3" name="status">
    <vt:lpwstr>Phase 6 — figure deliverables for v7 manuscript (11 figures)</vt:lpwstr>
  </property>
</Properties>
</file>