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v7</w:t>
      </w:r>
      <w:r>
        <w:t xml:space="preserve"> </w:t>
      </w:r>
      <w:r>
        <w:t xml:space="preserve">Supplement</w:t>
      </w:r>
      <w:r>
        <w:t xml:space="preserve"> </w:t>
      </w:r>
      <w:r>
        <w:t xml:space="preserve">—</w:t>
      </w:r>
      <w:r>
        <w:t xml:space="preserve"> </w:t>
      </w:r>
      <w:r>
        <w:t xml:space="preserve">extended</w:t>
      </w:r>
      <w:r>
        <w:t xml:space="preserve"> </w:t>
      </w:r>
      <w:r>
        <w:t xml:space="preserve">methods,</w:t>
      </w:r>
      <w:r>
        <w:t xml:space="preserve"> </w:t>
      </w:r>
      <w:r>
        <w:t xml:space="preserve">proofs,</w:t>
      </w:r>
      <w:r>
        <w:t xml:space="preserve"> </w:t>
      </w:r>
      <w:r>
        <w:t xml:space="preserve">and</w:t>
      </w:r>
      <w:r>
        <w:t xml:space="preserve"> </w:t>
      </w:r>
      <w:r>
        <w:t xml:space="preserve">reproducibility</w:t>
      </w:r>
      <w:r>
        <w:t xml:space="preserve"> </w:t>
      </w:r>
      <w:r>
        <w:t xml:space="preserve">tables</w:t>
      </w:r>
    </w:p>
    <w:p>
      <w:pPr>
        <w:pStyle w:val="Date"/>
      </w:pPr>
      <w:r>
        <w:t xml:space="preserve">2026-06-13</w:t>
      </w:r>
    </w:p>
    <w:p>
      <w:pPr>
        <w:pStyle w:val="Heading1"/>
      </w:pPr>
      <w:bookmarkStart w:id="20" w:name="s1-extended-methods"/>
      <w:r>
        <w:t xml:space="preserve">S1 Extended Methods</w:t>
      </w:r>
      <w:bookmarkEnd w:id="20"/>
    </w:p>
    <w:p>
      <w:pPr>
        <w:pStyle w:val="Heading2"/>
      </w:pPr>
      <w:bookmarkStart w:id="21" w:name="s1.1-substrate-construction-in-detail"/>
      <w:r>
        <w:t xml:space="preserve">S1.1 Substrate construction in detail</w:t>
      </w:r>
      <w:bookmarkEnd w:id="21"/>
    </w:p>
    <w:p>
      <w:pPr>
        <w:pStyle w:val="FirstParagraph"/>
      </w:pPr>
      <w:r>
        <w:t xml:space="preserve">The substrate is the merge of four curated biological knowledge sources, deposited at</w:t>
      </w:r>
      <w:r>
        <w:t xml:space="preserve"> </w:t>
      </w:r>
      <w:r>
        <w:rPr>
          <w:rStyle w:val="VerbatimChar"/>
        </w:rPr>
        <w:t xml:space="preserve">data/processed/human_full/graph.json</w:t>
      </w:r>
      <w:r>
        <w:t xml:space="preserve"> </w:t>
      </w:r>
      <w:r>
        <w:t xml:space="preserve">under CC-BY 4.0.</w:t>
      </w:r>
    </w:p>
    <w:p>
      <w:pPr>
        <w:pStyle w:val="BodyText"/>
      </w:pPr>
      <w:r>
        <w:rPr>
          <w:b/>
        </w:rPr>
        <w:t xml:space="preserve">Reactome</w:t>
      </w:r>
      <w:r>
        <w:t xml:space="preserve"> </w:t>
      </w:r>
      <w:r>
        <w:t xml:space="preserve">(release 87, June 2024): reactions filtered to</w:t>
      </w:r>
      <w:r>
        <w:t xml:space="preserve"> </w:t>
      </w:r>
      <w:r>
        <w:rPr>
          <w:rStyle w:val="VerbatimChar"/>
        </w:rPr>
        <w:t xml:space="preserve">species == "Homo sapiens"</w:t>
      </w:r>
      <w:r>
        <w:t xml:space="preserve">; protein participants resolved to UniProt accessions then mapped to HGNC gene symbols via the Reactome</w:t>
      </w:r>
      <w:r>
        <w:t xml:space="preserve"> </w:t>
      </w:r>
      <w:r>
        <w:rPr>
          <w:rStyle w:val="VerbatimChar"/>
        </w:rPr>
        <w:t xml:space="preserve">Ensembl2Reactome_All_Levels.txt</w:t>
      </w:r>
      <w:r>
        <w:t xml:space="preserve"> </w:t>
      </w:r>
      <w:r>
        <w:t xml:space="preserve">table; small-molecule participants resolved to ChEBI IDs and matched to HMDB IDs via the ChEBI-to-HMDB cross-reference; reaction nodes preserve catalysis direction (substrate → reaction → product); regulator/modifier annotations are encoded as gene → reaction MODIFIER edges.</w:t>
      </w:r>
    </w:p>
    <w:p>
      <w:pPr>
        <w:pStyle w:val="BodyText"/>
      </w:pPr>
      <w:r>
        <w:rPr>
          <w:b/>
        </w:rPr>
        <w:t xml:space="preserve">StringDB</w:t>
      </w:r>
      <w:r>
        <w:t xml:space="preserve"> </w:t>
      </w:r>
      <w:r>
        <w:t xml:space="preserve">(v12.0): protein-protein interaction edges at confidence ≥ 700; multi-edges between gene-symbol pairs are reduced to single highest-confidence edge; STRING-only edges that already appear in Reactome (catalytic chain) are de-duplicated.</w:t>
      </w:r>
    </w:p>
    <w:p>
      <w:pPr>
        <w:pStyle w:val="BodyText"/>
      </w:pPr>
      <w:r>
        <w:rPr>
          <w:b/>
        </w:rPr>
        <w:t xml:space="preserve">HMDB</w:t>
      </w:r>
      <w:r>
        <w:t xml:space="preserve"> </w:t>
      </w:r>
      <w:r>
        <w:t xml:space="preserve">(v5.0): metabolite identifiers; manual de-duplication by InChIKey14; HMDB metabolites that don’t map to any Reactome reaction are retained as isolated metabolite nodes; cross-database identifier collisions (HMDB → KEGG → ChEBI) resolved by precedence Reactome &gt; HMDB &gt; KEGG.</w:t>
      </w:r>
    </w:p>
    <w:p>
      <w:pPr>
        <w:pStyle w:val="BodyText"/>
      </w:pPr>
      <w:r>
        <w:rPr>
          <w:b/>
        </w:rPr>
        <w:t xml:space="preserve">KEGG</w:t>
      </w:r>
      <w:r>
        <w:t xml:space="preserve"> </w:t>
      </w:r>
      <w:r>
        <w:t xml:space="preserve">(latest snapshot, 2024-Q4): pathway annotations cross-referenced to gene + metabolite nodes; KEGG pathway hierarchy is stored as a node-level attribute but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an edge type in the propagation-eligible substrate (KEGG pathway co-membership would introduce dense same-pathway smoothing that is biology-redundant with Reactome catalysis edges).</w:t>
      </w:r>
    </w:p>
    <w:p>
      <w:pPr>
        <w:pStyle w:val="BodyText"/>
      </w:pPr>
      <w:r>
        <w:rPr>
          <w:b/>
        </w:rPr>
        <w:t xml:space="preserve">Hub-capping:</w:t>
      </w:r>
      <w:r>
        <w:t xml:space="preserve"> </w:t>
      </w:r>
      <w:r>
        <w:t xml:space="preserve">nodes with degree &gt; 200 in the merged graph are downgraded to peripheral status during MAP smoothing (their Laplacian rows are scaled down). This prevents the smoothing from being dominated by super-hub nodes (TP53, EGFR, top-50 inflammatory cytokines) whose connections to the rest of the graph would otherwise wash out all per-patient signal through over-smoothing.</w:t>
      </w:r>
    </w:p>
    <w:p>
      <w:pPr>
        <w:pStyle w:val="BodyText"/>
      </w:pPr>
      <w:r>
        <w:rPr>
          <w:b/>
        </w:rPr>
        <w:t xml:space="preserve">Final graph size:</w:t>
      </w:r>
      <w:r>
        <w:t xml:space="preserve"> </w:t>
      </w:r>
      <w:r>
        <w:t xml:space="preserve">38,148 propagation-eligible nodes — 12,872 gene nodes (HGNC), 14,032 reaction nodes (Reactome reaction IDs), 11,244 metabolite nodes (HMDB IDs). 168,335 edges.</w:t>
      </w:r>
    </w:p>
    <w:p>
      <w:pPr>
        <w:pStyle w:val="Heading2"/>
      </w:pPr>
      <w:bookmarkStart w:id="22" w:name="Xf8a3459b23f857fca53a7bcb405f32ac239ec7c"/>
      <w:r>
        <w:t xml:space="preserve">S1.2 Per-modality observation covariance Σ specification</w:t>
      </w:r>
      <w:bookmarkEnd w:id="22"/>
    </w:p>
    <w:p>
      <w:pPr>
        <w:pStyle w:val="FirstParagraph"/>
      </w:pPr>
      <w:r>
        <w:t xml:space="preserve">The MAP solve</w:t>
      </w:r>
      <w:r>
        <w:t xml:space="preserve"> </w:t>
      </w:r>
      <w:r>
        <w:rPr>
          <w:rStyle w:val="VerbatimChar"/>
        </w:rPr>
        <w:t xml:space="preserve">||x - A_obs F||²_Σ⁻¹ + λ F^T L_signed F + ρ ||F||²</w:t>
      </w:r>
      <w:r>
        <w:t xml:space="preserve"> </w:t>
      </w:r>
      <w:r>
        <w:t xml:space="preserve">requires a per-modality observation covariance to weight data fidelity. We use a diagonal Σ with per-modality scalar variance σ²_m: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Σ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=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⋅</m:t>
              </m:r>
              <m:sSub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  <m:sub>
                  <m:r>
                    <m:t>[</m:t>
                  </m:r>
                  <m:r>
                    <m:rPr>
                      <m:nor/>
                      <m:sty m:val="p"/>
                    </m:rPr>
                    <m:t>node </m:t>
                  </m:r>
                  <m:r>
                    <m:t>j</m:t>
                  </m:r>
                  <m:r>
                    <m:t>∈</m:t>
                  </m:r>
                  <m:r>
                    <m:rPr>
                      <m:nor/>
                      <m:sty m:val="p"/>
                    </m:rPr>
                    <m:t>modality </m:t>
                  </m:r>
                  <m:r>
                    <m:t>m</m:t>
                  </m:r>
                  <m:r>
                    <m:t>]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per-modality scalar σ²_m is set to the cohort-empirical residual variance after a one-pass MAP solve:</w:t>
      </w:r>
    </w:p>
    <w:p>
      <w:pPr>
        <w:numPr>
          <w:ilvl w:val="0"/>
          <w:numId w:val="1001"/>
        </w:numPr>
        <w:pStyle w:val="Compact"/>
      </w:pPr>
      <w:r>
        <w:t xml:space="preserve">Initialize σ²_m = 1 for all modalities; solve MAP for all patients</w:t>
      </w:r>
    </w:p>
    <w:p>
      <w:pPr>
        <w:numPr>
          <w:ilvl w:val="0"/>
          <w:numId w:val="1001"/>
        </w:numPr>
        <w:pStyle w:val="Compact"/>
      </w:pPr>
      <w:r>
        <w:t xml:space="preserve">Compute residual r_m = ||x_m - (A_obs F)_m||² / N_m per modality</w:t>
      </w:r>
    </w:p>
    <w:p>
      <w:pPr>
        <w:numPr>
          <w:ilvl w:val="0"/>
          <w:numId w:val="1001"/>
        </w:numPr>
        <w:pStyle w:val="Compact"/>
      </w:pPr>
      <w:r>
        <w:t xml:space="preserve">Set σ²_m ← r_m / global_residual_geomean, normalizing so the geometric mean of all σ²_m is 1</w:t>
      </w:r>
    </w:p>
    <w:p>
      <w:pPr>
        <w:numPr>
          <w:ilvl w:val="0"/>
          <w:numId w:val="1001"/>
        </w:numPr>
        <w:pStyle w:val="Compact"/>
      </w:pPr>
      <w:r>
        <w:t xml:space="preserve">Re-solve MAP with the calibrated Σ</w:t>
      </w:r>
    </w:p>
    <w:p>
      <w:pPr>
        <w:pStyle w:val="FirstParagraph"/>
      </w:pPr>
      <w:r>
        <w:t xml:space="preserve">This calibration handles the multi-modality scale problem (RNA-seq features at log-RSEM ~6, Olink NPX ~3, metabolomics intensity ~7, etc.) by reweighting each modality’s data-fidelity contribution to its empirical noise floor rather than the raw input magnitude. A patient with a noisy single proteomic measurement contributes proportionally less to F than a patient with a clean RNA-seq panel.</w:t>
      </w:r>
    </w:p>
    <w:p>
      <w:pPr>
        <w:pStyle w:val="BodyText"/>
      </w:pPr>
      <w:r>
        <w:t xml:space="preserve">For single-modality cohorts (KMPLOT-BRCA, TCGA-LUAD, TCGA-IDH-glioma, Filbin-Olink), Σ degenerates to σ² · I and the calibration step is trivial. For multi-modality cohorts (Su_COVID, Crohn, Filbin with metabolomics, IDH-glioma), the calibration matters and is documented per-cohort in</w:t>
      </w:r>
      <w:r>
        <w:t xml:space="preserve"> </w:t>
      </w:r>
      <w:r>
        <w:rPr>
          <w:rStyle w:val="VerbatimChar"/>
        </w:rPr>
        <w:t xml:space="preserve">benchmarks/results/unsupervised/_pre_zscore_snapshot_20260607/per_cohort_sigma.json</w:t>
      </w:r>
      <w:r>
        <w:t xml:space="preserve">.</w:t>
      </w:r>
    </w:p>
    <w:p>
      <w:pPr>
        <w:pStyle w:val="Heading2"/>
      </w:pPr>
      <w:bookmarkStart w:id="23" w:name="s1.3-signed-laplacian-definiteness-proof"/>
      <w:r>
        <w:t xml:space="preserve">S1.3 Signed-Laplacian definiteness proof</w:t>
      </w:r>
      <w:bookmarkEnd w:id="23"/>
    </w:p>
    <w:p>
      <w:pPr>
        <w:pStyle w:val="FirstParagraph"/>
      </w:pPr>
      <w:r>
        <w:t xml:space="preserve">The substrate’s edges carry directed roles from Reactome: SUBSTRATE, PRODUCT, MODIFIER. The signed adjacency matrix A assigns nonzero entries by role: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+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prod</m:t>
                        </m:r>
                      </m:sub>
                    </m:sSub>
                    <m:r>
                      <m:t>⋅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(</m:t>
                    </m:r>
                    <m:r>
                      <m:t>i</m:t>
                    </m:r>
                    <m:r>
                      <m:t>,</m:t>
                    </m:r>
                    <m:r>
                      <m:t>j</m:t>
                    </m:r>
                    <m:r>
                      <m:t>)</m:t>
                    </m:r>
                    <m:r>
                      <m:rPr>
                        <m:nor/>
                        <m:sty m:val="p"/>
                      </m:rPr>
                      <m:t> is PRODUCT (catalytic)</m:t>
                    </m:r>
                  </m:e>
                </m:mr>
                <m:mr>
                  <m:e>
                    <m: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sub</m:t>
                        </m:r>
                      </m:sub>
                    </m:sSub>
                    <m:r>
                      <m:t>⋅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(</m:t>
                    </m:r>
                    <m:r>
                      <m:t>i</m:t>
                    </m:r>
                    <m:r>
                      <m:t>,</m:t>
                    </m:r>
                    <m:r>
                      <m:t>j</m:t>
                    </m:r>
                    <m:r>
                      <m:t>)</m:t>
                    </m:r>
                    <m:r>
                      <m:rPr>
                        <m:nor/>
                        <m:sty m:val="p"/>
                      </m:rPr>
                      <m:t> is SUBSTRATE (substrate-of-reaction)</m:t>
                    </m:r>
                  </m:e>
                </m:mr>
                <m:mr>
                  <m:e>
                    <m:r>
                      <m:t>+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mod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(</m:t>
                    </m:r>
                    <m:r>
                      <m:t>i</m:t>
                    </m:r>
                    <m:r>
                      <m:t>,</m:t>
                    </m:r>
                    <m:r>
                      <m:t>j</m:t>
                    </m:r>
                    <m:r>
                      <m:t>)</m:t>
                    </m:r>
                    <m:r>
                      <m:rPr>
                        <m:nor/>
                        <m:sty m:val="p"/>
                      </m:rPr>
                      <m:t> is MODIFIER (gene → reaction)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 stoichiometry s_ij and edge weights w_prod, w_sub, w_mod &gt; 0. The matrix is symmetrized A ← (A + Aᵀ)/2.</w:t>
      </w:r>
    </w:p>
    <w:p>
      <w:pPr>
        <w:pStyle w:val="BodyText"/>
      </w:pPr>
      <w:r>
        <w:t xml:space="preserve">Following Kunegis (2010), we use the</w:t>
      </w:r>
      <w:r>
        <w:t xml:space="preserve"> </w:t>
      </w:r>
      <w:r>
        <w:rPr>
          <w:b/>
        </w:rPr>
        <w:t xml:space="preserve">absolute-degree convention</w:t>
      </w:r>
      <w:r>
        <w:t xml:space="preserve">: D_ii = Σ_j |A_ij|. The normalized signed Laplacian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L</m:t>
              </m:r>
            </m:e>
            <m:sub>
              <m:r>
                <m:rPr>
                  <m:nor/>
                  <m:sty m:val="p"/>
                </m:rPr>
                <m:t>signed</m:t>
              </m:r>
            </m:sub>
          </m:sSub>
          <m:r>
            <m:t>=</m:t>
          </m:r>
          <m:r>
            <m:rPr>
              <m:sty m:val="b"/>
            </m:rPr>
            <m:t>I</m:t>
          </m:r>
          <m:r>
            <m:t>−</m:t>
          </m:r>
          <m:sSup>
            <m:e>
              <m:r>
                <m:rPr>
                  <m:sty m:val="b"/>
                </m:rPr>
                <m:t>D</m:t>
              </m:r>
            </m:e>
            <m:sup>
              <m:r>
                <m:t>−</m:t>
              </m:r>
              <m:r>
                <m:t>1</m:t>
              </m:r>
              <m:r>
                <m:t>/</m:t>
              </m:r>
              <m:r>
                <m:t>2</m:t>
              </m:r>
            </m:sup>
          </m:sSup>
          <m:r>
            <m:rPr>
              <m:sty m:val="b"/>
            </m:rPr>
            <m:t>A</m:t>
          </m:r>
          <m:sSup>
            <m:e>
              <m:r>
                <m:rPr>
                  <m:sty m:val="b"/>
                </m:rPr>
                <m:t>D</m:t>
              </m:r>
            </m:e>
            <m:sup>
              <m:r>
                <m:t>−</m:t>
              </m:r>
              <m:r>
                <m:t>1</m:t>
              </m:r>
              <m: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L_signed is positive semi-definite for any signed graph under this convention, regardless of structural balance.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Let x̃_i = x_i / √D_ii. Direct expansion: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b"/>
                </m:rPr>
                <m:t>L</m:t>
              </m:r>
            </m:e>
            <m:sub>
              <m:r>
                <m:rPr>
                  <m:nor/>
                  <m:sty m:val="p"/>
                </m:rPr>
                <m:t>signed</m:t>
              </m:r>
            </m:sub>
          </m:sSub>
          <m:r>
            <m:rPr>
              <m:sty m:val="b"/>
            </m:rPr>
            <m:t>x</m:t>
          </m:r>
          <m:r>
            <m:t>=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x</m:t>
          </m:r>
          <m:r>
            <m:t>−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b"/>
                </m:rPr>
                <m:t>D</m:t>
              </m:r>
            </m:e>
            <m:sup>
              <m:r>
                <m:t>−</m:t>
              </m:r>
              <m:r>
                <m:t>1</m:t>
              </m:r>
              <m:r>
                <m:t>/</m:t>
              </m:r>
              <m:r>
                <m:t>2</m:t>
              </m:r>
            </m:sup>
          </m:sSup>
          <m:r>
            <m:rPr>
              <m:sty m:val="b"/>
            </m:rPr>
            <m:t>A</m:t>
          </m:r>
          <m:sSup>
            <m:e>
              <m:r>
                <m:rPr>
                  <m:sty m:val="b"/>
                </m:rPr>
                <m:t>D</m:t>
              </m:r>
            </m:e>
            <m:sup>
              <m:r>
                <m:t>−</m:t>
              </m:r>
              <m:r>
                <m:t>1</m:t>
              </m:r>
              <m:r>
                <m:t>/</m:t>
              </m:r>
              <m:r>
                <m:t>2</m:t>
              </m:r>
            </m:sup>
          </m:sSup>
          <m:r>
            <m:rPr>
              <m:sty m:val="b"/>
            </m:rPr>
            <m:t>x</m:t>
          </m:r>
        </m:oMath>
      </m:oMathPara>
    </w:p>
    <w:p>
      <w:pPr>
        <w:pStyle w:val="FirstParagraph"/>
      </w:pPr>
      <w:r>
        <w:t xml:space="preserve">The cross-term unpacks as Σ_ij A_ij x̃_i x̃_j. Splitting A_ij = sign(A_ij) · |A_ij|: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</m:e>
          </m:nary>
          <m:r>
            <m:t>(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)</m:t>
          </m:r>
          <m:r>
            <m:t>|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Apply the identity 2 sign(a) ab = -((a - sign(a)b)² - a² - b²) when |sign|=1: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x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b"/>
                </m:rPr>
                <m:t>L</m:t>
              </m:r>
            </m:e>
            <m:sub>
              <m:r>
                <m:rPr>
                  <m:nor/>
                  <m:sty m:val="p"/>
                </m:rPr>
                <m:t>signed</m:t>
              </m:r>
            </m:sub>
          </m:sSub>
          <m:r>
            <m:rPr>
              <m:sty m:val="b"/>
            </m:rPr>
            <m:t>x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t>|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|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)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Each term is non-negative. Therefore xᵀ L_signed x ≥ 0 for all x.</w:t>
      </w:r>
    </w:p>
    <w:p>
      <w:pPr>
        <w:pStyle w:val="BodyText"/>
      </w:pPr>
      <w:r>
        <w:t xml:space="preserve">Equality holds iff x̃_i = sign(A_ij) x̃_j on every nonzero edge, i.e., x is in the null space of L_signed. The null space is trivial except when the signed graph is structurally balanced (Harary 1953). For our substrate, balance fails because substrate-product edge pairs introduce sign-discordant cycles (a substrate is connected to its reaction by a negative edge and the product by a positive edge; the substrate-reaction-product chain has sign product (-1)(+1) = -1, while the substrate-PPI-product chain has sign (+1)). So L_signed has a non-zero spectral gap and trivial null space. □</w:t>
      </w:r>
    </w:p>
    <w:p>
      <w:pPr>
        <w:pStyle w:val="BodyText"/>
      </w:pPr>
      <w:r>
        <w:rPr>
          <w:b/>
        </w:rPr>
        <w:t xml:space="preserve">MAP system Hessian positive-definiteness.</w:t>
      </w:r>
      <w:r>
        <w:t xml:space="preserve"> </w:t>
      </w:r>
      <w:r>
        <w:t xml:space="preserve">The MAP minimizes: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t>(</m:t>
          </m:r>
          <m:r>
            <m:rPr>
              <m:sty m:val="b"/>
            </m:rPr>
            <m:t>F</m:t>
          </m:r>
          <m:r>
            <m:t>)</m:t>
          </m:r>
          <m:r>
            <m:t>=</m:t>
          </m:r>
          <m:r>
            <m:t>(</m:t>
          </m:r>
          <m:r>
            <m:rPr>
              <m:sty m:val="b"/>
            </m:rPr>
            <m:t>x</m:t>
          </m:r>
          <m:r>
            <m:t>−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nor/>
                  <m:sty m:val="p"/>
                </m:rPr>
                <m:t>obs</m:t>
              </m:r>
            </m:sub>
          </m:sSub>
          <m:r>
            <m:rPr>
              <m:sty m:val="b"/>
            </m:rPr>
            <m:t>F</m:t>
          </m:r>
          <m:sSup>
            <m:e>
              <m:r>
                <m:t>)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(</m:t>
          </m:r>
          <m:r>
            <m:rPr>
              <m:sty m:val="b"/>
            </m:rPr>
            <m:t>x</m:t>
          </m:r>
          <m:r>
            <m:t>−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rPr>
                  <m:nor/>
                  <m:sty m:val="p"/>
                </m:rPr>
                <m:t>obs</m:t>
              </m:r>
            </m:sub>
          </m:sSub>
          <m:r>
            <m:rPr>
              <m:sty m:val="b"/>
            </m:rPr>
            <m:t>F</m:t>
          </m:r>
          <m:r>
            <m:t>)</m:t>
          </m:r>
          <m:r>
            <m:t>+</m:t>
          </m:r>
          <m:r>
            <m:t>λ</m:t>
          </m:r>
          <m:sSup>
            <m:e>
              <m:r>
                <m:rPr>
                  <m:sty m:val="b"/>
                </m:rPr>
                <m:t>F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b"/>
                </m:rPr>
                <m:t>L</m:t>
              </m:r>
            </m:e>
            <m:sub>
              <m:r>
                <m:rPr>
                  <m:nor/>
                  <m:sty m:val="p"/>
                </m:rPr>
                <m:t>signed</m:t>
              </m:r>
            </m:sub>
          </m:sSub>
          <m:r>
            <m:rPr>
              <m:sty m:val="b"/>
            </m:rPr>
            <m:t>F</m:t>
          </m:r>
          <m:r>
            <m:t>+</m:t>
          </m:r>
          <m:r>
            <m:t>ρ</m:t>
          </m:r>
          <m:r>
            <m:t>∥</m:t>
          </m:r>
          <m:r>
            <m:rPr>
              <m:sty m:val="b"/>
            </m:rPr>
            <m:t>F</m:t>
          </m:r>
          <m:sSup>
            <m:e>
              <m: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Hessian H = Aₒbsᵀ Σ⁻¹ Aₒbs + λ L_signed + ρI. Each term is PSD: Aₒbsᵀ Σ⁻¹ Aₒbs because Σ⁻¹ is positive-diagonal; L_signed by the claim; ρI is positive-definite for any ρ &gt; 0. The sum is</w:t>
      </w:r>
      <w:r>
        <w:t xml:space="preserve"> </w:t>
      </w:r>
      <w:r>
        <w:rPr>
          <w:b/>
        </w:rPr>
        <w:t xml:space="preserve">strictly positive definite</w:t>
      </w:r>
      <w:r>
        <w:t xml:space="preserve">, the objective is</w:t>
      </w:r>
      <w:r>
        <w:t xml:space="preserve"> </w:t>
      </w:r>
      <w:r>
        <w:rPr>
          <w:b/>
        </w:rPr>
        <w:t xml:space="preserve">strictly convex</w:t>
      </w:r>
      <w:r>
        <w:t xml:space="preserve">, and the MAP solution is</w:t>
      </w:r>
      <w:r>
        <w:t xml:space="preserve"> </w:t>
      </w:r>
      <w:r>
        <w:rPr>
          <w:b/>
        </w:rPr>
        <w:t xml:space="preserve">unique</w:t>
      </w:r>
      <w:r>
        <w:t xml:space="preserve">.</w:t>
      </w:r>
    </w:p>
    <w:p>
      <w:pPr>
        <w:pStyle w:val="BodyTex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gizmo/inference/laplacian.py</w:t>
      </w:r>
      <w:r>
        <w:t xml:space="preserve"> </w:t>
      </w:r>
      <w:r>
        <w:t xml:space="preserve">builds L_signed at lines 279–283;</w:t>
      </w:r>
      <w:r>
        <w:t xml:space="preserve"> </w:t>
      </w:r>
      <w:r>
        <w:rPr>
          <w:rStyle w:val="VerbatimChar"/>
        </w:rPr>
        <w:t xml:space="preserve">gizmo/inference/projection.py</w:t>
      </w:r>
      <w:r>
        <w:t xml:space="preserve"> </w:t>
      </w:r>
      <w:r>
        <w:t xml:space="preserve">adds ρI = 10⁻³ to the system before CG.</w:t>
      </w:r>
    </w:p>
    <w:p>
      <w:pPr>
        <w:pStyle w:val="Heading2"/>
      </w:pPr>
      <w:bookmarkStart w:id="24" w:name="X4109f96a84a4e198e8a68af245fefb3e72073cf"/>
      <w:r>
        <w:t xml:space="preserve">S1.4 λ-sensitivity (researcher degree of freedom)</w:t>
      </w:r>
      <w:bookmarkEnd w:id="24"/>
    </w:p>
    <w:p>
      <w:pPr>
        <w:pStyle w:val="FirstParagraph"/>
      </w:pPr>
      <w:r>
        <w:t xml:space="preserve">The smoothing strength λ trades data fidelity against substrate-coherence. The default per-cohort selection is λ_diag = 0.1 × (mean data weight) / (median Laplacian eigenvalue × n_nodes).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λ_diag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β AUC range (λ ∈ [λ_diag/4, 4λ_diag])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α-PC1 AUC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Filbin_COVID</w:t>
            </w:r>
          </w:p>
        </w:tc>
        <w:tc>
          <w:p>
            <w:pPr>
              <w:pStyle w:val="Compact"/>
              <w:jc w:val="left"/>
            </w:pPr>
            <w:r>
              <w:t xml:space="preserve">8.2 × 10⁻⁴</w:t>
            </w:r>
          </w:p>
        </w:tc>
        <w:tc>
          <w:p>
            <w:pPr>
              <w:pStyle w:val="Compact"/>
              <w:jc w:val="left"/>
            </w:pPr>
            <w:r>
              <w:t xml:space="preserve">0.638-0.651 (Δ 0.013)</w:t>
            </w:r>
          </w:p>
        </w:tc>
        <w:tc>
          <w:p>
            <w:pPr>
              <w:pStyle w:val="Compact"/>
              <w:jc w:val="left"/>
            </w:pPr>
            <w:r>
              <w:t xml:space="preserve">0.770-0.793 (Δ 0.023)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TCGA_IDH</w:t>
            </w:r>
          </w:p>
        </w:tc>
        <w:tc>
          <w:p>
            <w:pPr>
              <w:pStyle w:val="Compact"/>
              <w:jc w:val="left"/>
            </w:pPr>
            <w:r>
              <w:t xml:space="preserve">6.1 × 10⁻⁴</w:t>
            </w:r>
          </w:p>
        </w:tc>
        <w:tc>
          <w:p>
            <w:pPr>
              <w:pStyle w:val="Compact"/>
              <w:jc w:val="left"/>
            </w:pPr>
            <w:r>
              <w:t xml:space="preserve">(β not OS-predictive)</w:t>
            </w:r>
          </w:p>
        </w:tc>
        <w:tc>
          <w:p>
            <w:pPr>
              <w:pStyle w:val="Compact"/>
              <w:jc w:val="left"/>
            </w:pPr>
            <w:r>
              <w:t xml:space="preserve">0.812-0.834 (Δ 0.022)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TCGA_LUAD</w:t>
            </w:r>
          </w:p>
        </w:tc>
        <w:tc>
          <w:p>
            <w:pPr>
              <w:pStyle w:val="Compact"/>
              <w:jc w:val="left"/>
            </w:pPr>
            <w:r>
              <w:t xml:space="preserve">9.4 × 10⁻⁴</w:t>
            </w:r>
          </w:p>
        </w:tc>
        <w:tc>
          <w:p>
            <w:pPr>
              <w:pStyle w:val="Compact"/>
              <w:jc w:val="left"/>
            </w:pPr>
            <w:r>
              <w:t xml:space="preserve">0.555-0.583 (Δ 0.028)</w:t>
            </w:r>
          </w:p>
        </w:tc>
        <w:tc>
          <w:p>
            <w:pPr>
              <w:pStyle w:val="Compact"/>
              <w:jc w:val="left"/>
            </w:pPr>
            <w:r>
              <w:t xml:space="preserve">0.582-0.612 (Δ 0.030)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Crohn</w:t>
            </w:r>
          </w:p>
        </w:tc>
        <w:tc>
          <w:p>
            <w:pPr>
              <w:pStyle w:val="Compact"/>
              <w:jc w:val="left"/>
            </w:pPr>
            <w:r>
              <w:t xml:space="preserve">4.7 × 10⁻⁴</w:t>
            </w:r>
          </w:p>
        </w:tc>
        <w:tc>
          <w:p>
            <w:pPr>
              <w:pStyle w:val="Compact"/>
              <w:jc w:val="left"/>
            </w:pPr>
            <w:r>
              <w:t xml:space="preserve">(n/a, no continuous outcome)</w:t>
            </w:r>
          </w:p>
        </w:tc>
        <w:tc>
          <w:p>
            <w:pPr>
              <w:pStyle w:val="Compact"/>
              <w:jc w:val="left"/>
            </w:pPr>
            <w:r>
              <w:t xml:space="preserve">(interpretability stable)</w:t>
            </w:r>
          </w:p>
        </w:tc>
      </w:tr>
    </w:tbl>
    <w:p>
      <w:pPr>
        <w:pStyle w:val="BodyText"/>
      </w:pPr>
      <w:r>
        <w:t xml:space="preserve">Median β AUC variation ≤ 0.03, median α-PC1 AUC variation ≤ 0.04 across the 16-fold λ range.</w:t>
      </w:r>
      <w:r>
        <w:t xml:space="preserve"> </w:t>
      </w:r>
      <w:r>
        <w:rPr>
          <w:b/>
        </w:rPr>
        <w:t xml:space="preserve">The choice of λ is not a major researcher degree of freedom.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s2-reproducibility-tables"/>
      <w:r>
        <w:t xml:space="preserve">S2 Reproducibility Tables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data/curation/v7_cohort_key_genes.tsv</w:t>
            </w:r>
          </w:p>
        </w:tc>
        <w:tc>
          <w:p>
            <w:pPr>
              <w:pStyle w:val="Compact"/>
              <w:jc w:val="left"/>
            </w:pPr>
            <w:r>
              <w:t xml:space="preserve">75 curated source-paper key genes across 12 cohorts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v7_interpretability_eval_v4.json</w:t>
            </w:r>
          </w:p>
        </w:tc>
        <w:tc>
          <w:p>
            <w:pPr>
              <w:pStyle w:val="Compact"/>
              <w:jc w:val="left"/>
            </w:pPr>
            <w:r>
              <w:t xml:space="preserve">110 cell × cohort AUROC under degree-PR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v7_pathway_matched_null.tsv</w:t>
            </w:r>
          </w:p>
        </w:tc>
        <w:tc>
          <w:p>
            <w:pPr>
              <w:pStyle w:val="Compact"/>
              <w:jc w:val="left"/>
            </w:pPr>
            <w:r>
              <w:t xml:space="preserve">110 cell × cohort AUROC under Reactome-pathway-degree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v7_basin_conservation.json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v7_basin_conservation_breakdown.tsv</w:t>
            </w:r>
          </w:p>
        </w:tc>
        <w:tc>
          <w:p>
            <w:pPr>
              <w:pStyle w:val="Compact"/>
              <w:jc w:val="left"/>
            </w:pPr>
            <w:r>
              <w:t xml:space="preserve">149 basins + 36 cross-cohort pairs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v7_basin_activation_matrix.tsv</w:t>
            </w:r>
          </w:p>
        </w:tc>
        <w:tc>
          <w:p>
            <w:pPr>
              <w:pStyle w:val="Compact"/>
              <w:jc w:val="left"/>
            </w:pPr>
            <w:r>
              <w:t xml:space="preserve">Disease × neighborhood activation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v7_smoothness_diagnostic.tsv</w:t>
            </w:r>
          </w:p>
        </w:tc>
        <w:tc>
          <w:p>
            <w:pPr>
              <w:pStyle w:val="Compact"/>
              <w:jc w:val="left"/>
            </w:pPr>
            <w:r>
              <w:t xml:space="preserve">s_cohort across 11 cohorts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v7_toppr_comparison.tsv</w:t>
            </w:r>
          </w:p>
        </w:tc>
        <w:tc>
          <w:p>
            <w:pPr>
              <w:pStyle w:val="Compact"/>
              <w:jc w:val="left"/>
            </w:pPr>
            <w:r>
              <w:t xml:space="preserve">TopPR vs F-α-PC fold-enrichment per cohort × 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v7_v5_F_per_pc_ablation.json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v7_pca_per_pc_ablation.json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v7_v5_canonical_F_all3.json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v7_survival_substrate_matched.json</w:t>
            </w:r>
          </w:p>
        </w:tc>
        <w:tc>
          <w:p>
            <w:pPr>
              <w:pStyle w:val="Compact"/>
              <w:jc w:val="left"/>
            </w:pPr>
            <w:r>
              <w:t xml:space="preserve">Per-PC ablation F-α-PC vs PCA-on-input; F-features ensemble + PCA-substrate-matched baselines per cohort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v7_survival_filbin_28d.json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v7_basin_survival_broad.tsv</w:t>
            </w:r>
          </w:p>
        </w:tc>
        <w:tc>
          <w:p>
            <w:pPr>
              <w:pStyle w:val="Compact"/>
              <w:jc w:val="left"/>
            </w:pPr>
            <w:r>
              <w:t xml:space="preserve">Per-basin survival per cohort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v7_f_as_feature_selection.json</w:t>
            </w:r>
          </w:p>
        </w:tc>
        <w:tc>
          <w:p>
            <w:pPr>
              <w:pStyle w:val="Compact"/>
              <w:jc w:val="left"/>
            </w:pPr>
            <w:r>
              <w:t xml:space="preserve">F-basin vs PCA-best-PC gene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stage31_v14c_wgcna_same_universe.json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stage31_v14b_wgcna_coherence.json</w:t>
            </w:r>
          </w:p>
        </w:tc>
        <w:tc>
          <w:p>
            <w:pPr>
              <w:pStyle w:val="Compact"/>
              <w:jc w:val="left"/>
            </w:pPr>
            <w:r>
              <w:t xml:space="preserve">WGCNA module comparison (corrected same-universe v14c + legacy v14b that the §4.1 self-correction refers 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v7_mito_2hg_degree_null.json</w:t>
            </w:r>
          </w:p>
        </w:tc>
        <w:tc>
          <w:p>
            <w:pPr>
              <w:pStyle w:val="Compact"/>
              <w:jc w:val="left"/>
            </w:pPr>
            <w:r>
              <w:t xml:space="preserve">2HG anchor rank under canonical vs z-score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p>
            <w:pPr>
              <w:pStyle w:val="Compact"/>
              <w:jc w:val="left"/>
            </w:pPr>
            <w:r>
              <w:t xml:space="preserve">per-cohort λ sensitivity</w:t>
            </w:r>
          </w:p>
        </w:tc>
        <w:tc>
          <w:p>
            <w:pPr>
              <w:pStyle w:val="Compact"/>
              <w:jc w:val="left"/>
            </w:pPr>
            <w:r>
              <w:t xml:space="preserve">Default + 4× scan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s3-cited-software-and-versions"/>
      <w:r>
        <w:t xml:space="preserve">S3 Cited Software and Versions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gizmo</w:t>
      </w:r>
      <w:r>
        <w:t xml:space="preserve"> </w:t>
      </w:r>
      <w:r>
        <w:t xml:space="preserve">(the deposited package) v7.0; commit pinned per release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numpy</w:t>
      </w:r>
      <w:r>
        <w:t xml:space="preserve"> </w:t>
      </w:r>
      <w:r>
        <w:t xml:space="preserve">1.26,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1.11,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2.1,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1.3,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3.2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lifelines</w:t>
      </w:r>
      <w:r>
        <w:t xml:space="preserve"> </w:t>
      </w:r>
      <w:r>
        <w:t xml:space="preserve">0.30.0 (Cox proportional-hazards, Harrell’s C-index)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pandoc</w:t>
      </w:r>
      <w:r>
        <w:t xml:space="preserve"> </w:t>
      </w:r>
      <w:r>
        <w:t xml:space="preserve">2.9.2.1 (markdown → docx conversion)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Python</w:t>
      </w:r>
      <w:r>
        <w:t xml:space="preserve"> </w:t>
      </w:r>
      <w:r>
        <w:t xml:space="preserve">3.10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s4-references"/>
      <w:r>
        <w:t xml:space="preserve">S4 References</w:t>
      </w:r>
      <w:bookmarkEnd w:id="27"/>
    </w:p>
    <w:p>
      <w:pPr>
        <w:pStyle w:val="FirstParagraph"/>
      </w:pPr>
      <w:r>
        <w:t xml:space="preserve">Kunegis et al. 2010.</w:t>
      </w:r>
      <w:r>
        <w:t xml:space="preserve"> </w:t>
      </w:r>
      <w:r>
        <w:rPr>
          <w:i/>
        </w:rPr>
        <w:t xml:space="preserve">Spectral analysis of signed graphs for clustering, prediction and visualization.</w:t>
      </w:r>
      <w:r>
        <w:t xml:space="preserve"> </w:t>
      </w:r>
      <w:r>
        <w:t xml:space="preserve">SIAM SDM.</w:t>
      </w:r>
      <w:r>
        <w:t xml:space="preserve"> </w:t>
      </w:r>
      <w:r>
        <w:t xml:space="preserve">Harary 1953.</w:t>
      </w:r>
      <w:r>
        <w:t xml:space="preserve"> </w:t>
      </w:r>
      <w:r>
        <w:rPr>
          <w:i/>
        </w:rPr>
        <w:t xml:space="preserve">On the notion of balance of a signed graph.</w:t>
      </w:r>
      <w:r>
        <w:t xml:space="preserve"> </w:t>
      </w:r>
      <w:r>
        <w:t xml:space="preserve">Michigan Math J.</w:t>
      </w:r>
      <w:r>
        <w:t xml:space="preserve"> </w:t>
      </w:r>
      <w:r>
        <w:t xml:space="preserve">Hofree et al. 2013.</w:t>
      </w:r>
      <w:r>
        <w:t xml:space="preserve"> </w:t>
      </w:r>
      <w:r>
        <w:rPr>
          <w:i/>
        </w:rPr>
        <w:t xml:space="preserve">Network-based stratification of tumor mutations.</w:t>
      </w:r>
      <w:r>
        <w:t xml:space="preserve"> </w:t>
      </w:r>
      <w:r>
        <w:t xml:space="preserve">Nature Methods.</w:t>
      </w:r>
      <w:r>
        <w:t xml:space="preserve"> </w:t>
      </w:r>
      <w:r>
        <w:t xml:space="preserve">Cowen et al. 2017.</w:t>
      </w:r>
      <w:r>
        <w:t xml:space="preserve"> </w:t>
      </w:r>
      <w:r>
        <w:rPr>
          <w:i/>
        </w:rPr>
        <w:t xml:space="preserve">Network propagation: a universal amplifier of genetic associations.</w:t>
      </w:r>
      <w:r>
        <w:t xml:space="preserve"> </w:t>
      </w:r>
      <w:r>
        <w:t xml:space="preserve">Nature Reviews Genetics.</w:t>
      </w:r>
      <w:r>
        <w:t xml:space="preserve"> </w:t>
      </w:r>
      <w:r>
        <w:t xml:space="preserve">Vanunu et al. 2010.</w:t>
      </w:r>
      <w:r>
        <w:t xml:space="preserve"> </w:t>
      </w:r>
      <w:r>
        <w:rPr>
          <w:i/>
        </w:rPr>
        <w:t xml:space="preserve">Associating genes and protein complexes with disease via network propagation.</w:t>
      </w:r>
      <w:r>
        <w:t xml:space="preserve"> </w:t>
      </w:r>
      <w:r>
        <w:t xml:space="preserve">PLoS Comput Biol.</w:t>
      </w:r>
      <w:r>
        <w:t xml:space="preserve"> </w:t>
      </w:r>
      <w:r>
        <w:t xml:space="preserve">Cantini et al. 2021.</w:t>
      </w:r>
      <w:r>
        <w:t xml:space="preserve"> </w:t>
      </w:r>
      <w:r>
        <w:rPr>
          <w:i/>
        </w:rPr>
        <w:t xml:space="preserve">Benchmarking joint multi-omics dimensionality reduction approaches.</w:t>
      </w:r>
      <w:r>
        <w:t xml:space="preserve"> </w:t>
      </w:r>
      <w:r>
        <w:t xml:space="preserve">Nature Communications.</w:t>
      </w:r>
      <w:r>
        <w:t xml:space="preserve"> </w:t>
      </w:r>
      <w:r>
        <w:t xml:space="preserve">Argelaguet et al. 2018.</w:t>
      </w:r>
      <w:r>
        <w:t xml:space="preserve"> </w:t>
      </w:r>
      <w:r>
        <w:rPr>
          <w:i/>
        </w:rPr>
        <w:t xml:space="preserve">MOFA: factor analysis for multi-omic data.</w:t>
      </w:r>
      <w:r>
        <w:t xml:space="preserve"> </w:t>
      </w:r>
      <w:r>
        <w:t xml:space="preserve">Mol Syst Biol.</w:t>
      </w:r>
      <w:r>
        <w:t xml:space="preserve"> </w:t>
      </w:r>
      <w:r>
        <w:t xml:space="preserve">Singh et al. 2019.</w:t>
      </w:r>
      <w:r>
        <w:t xml:space="preserve"> </w:t>
      </w:r>
      <w:r>
        <w:rPr>
          <w:i/>
        </w:rPr>
        <w:t xml:space="preserve">DIABLO: an integrative multi-omics approach for cancer subtyping.</w:t>
      </w:r>
      <w:r>
        <w:t xml:space="preserve"> </w:t>
      </w:r>
      <w:r>
        <w:t xml:space="preserve">Bioinformatics.</w:t>
      </w:r>
      <w:r>
        <w:t xml:space="preserve"> </w:t>
      </w:r>
      <w:r>
        <w:t xml:space="preserve">Wang et al. 2014.</w:t>
      </w:r>
      <w:r>
        <w:t xml:space="preserve"> </w:t>
      </w:r>
      <w:r>
        <w:rPr>
          <w:i/>
        </w:rPr>
        <w:t xml:space="preserve">Similarity Network Fusion.</w:t>
      </w:r>
      <w:r>
        <w:t xml:space="preserve"> </w:t>
      </w:r>
      <w:r>
        <w:t xml:space="preserve">Nature Methods.</w:t>
      </w:r>
      <w:r>
        <w:t xml:space="preserve"> </w:t>
      </w:r>
      <w:r>
        <w:t xml:space="preserve">Molenaar et al. 2014.</w:t>
      </w:r>
      <w:r>
        <w:t xml:space="preserve"> </w:t>
      </w:r>
      <w:r>
        <w:rPr>
          <w:i/>
        </w:rPr>
        <w:t xml:space="preserve">Radioprotection of IDH1-mutated cancer cells by the IDH1-mutant inhibitor AGI-5198.</w:t>
      </w:r>
      <w:r>
        <w:t xml:space="preserve"> </w:t>
      </w:r>
      <w:r>
        <w:t xml:space="preserve">Cancer Research.</w:t>
      </w:r>
      <w:r>
        <w:t xml:space="preserve"> </w:t>
      </w:r>
      <w:r>
        <w:t xml:space="preserve">Tateishi et al. 2015.</w:t>
      </w:r>
      <w:r>
        <w:t xml:space="preserve"> </w:t>
      </w:r>
      <w:r>
        <w:rPr>
          <w:i/>
        </w:rPr>
        <w:t xml:space="preserve">The Alkylating Chemotherapeutic Temozolomide Induces Metabolic Stress in IDH1-Mutant Cancers.</w:t>
      </w:r>
      <w:r>
        <w:t xml:space="preserve"> </w:t>
      </w:r>
      <w:r>
        <w:t xml:space="preserve">Cancer Research.</w:t>
      </w:r>
      <w:r>
        <w:t xml:space="preserve"> </w:t>
      </w:r>
      <w:r>
        <w:t xml:space="preserve">Cabrera-Benitez et al. 2014.</w:t>
      </w:r>
      <w:r>
        <w:t xml:space="preserve"> </w:t>
      </w:r>
      <w:r>
        <w:rPr>
          <w:i/>
        </w:rPr>
        <w:t xml:space="preserve">Mechanical Ventilation-associated Lung Fibrosis in ARDS: A Significant Contributor to Poor Outcome.</w:t>
      </w:r>
      <w:r>
        <w:t xml:space="preserve"> </w:t>
      </w:r>
      <w:r>
        <w:t xml:space="preserve">Anesthesiology.</w:t>
      </w:r>
      <w:r>
        <w:t xml:space="preserve"> </w:t>
      </w:r>
      <w:r>
        <w:t xml:space="preserve">Kratzer et al. 2008.</w:t>
      </w:r>
      <w:r>
        <w:t xml:space="preserve"> </w:t>
      </w:r>
      <w:r>
        <w:rPr>
          <w:i/>
        </w:rPr>
        <w:t xml:space="preserve">Bovine glomerular basement membrane.</w:t>
      </w:r>
      <w:r>
        <w:t xml:space="preserve"> </w:t>
      </w:r>
      <w:r>
        <w:t xml:space="preserve">Journal of Biological Chemistry.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v7 Supplement — extended methods, proofs, and reproducibility tables</dc:title>
  <dc:creator/>
  <cp:keywords/>
  <dcterms:created xsi:type="dcterms:W3CDTF">2026-06-16T12:45:48Z</dcterms:created>
  <dcterms:modified xsi:type="dcterms:W3CDTF">2026-06-16T12:45:48Z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2026-06-13</vt:lpwstr>
  </property>
  <property fmtid="{D5CDD505-2E9C-101B-9397-08002B2CF9AE}" pid="3" name="status">
    <vt:lpwstr>v7 supplement accompanying MANUSCRIPT_v7.docx</vt:lpwstr>
  </property>
</Properties>
</file>