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color w:val="1F3A6B"/>
          <w:sz w:val="44"/>
        </w:rPr>
        <w:t>附件 1</w:t>
      </w:r>
    </w:p>
    <w:p>
      <w:pPr>
        <w:jc w:val="center"/>
      </w:pPr>
      <w:r>
        <w:rPr>
          <w:rFonts w:ascii="黑体" w:hAnsi="黑体" w:eastAsia="黑体"/>
          <w:b/>
          <w:color w:val="1F3A6B"/>
          <w:sz w:val="36"/>
        </w:rPr>
        <w:t>技术成熟度报告（TRL）</w:t>
      </w:r>
    </w:p>
    <w:p>
      <w:pPr>
        <w:jc w:val="center"/>
      </w:pPr>
      <w:r>
        <w:rPr>
          <w:rFonts w:ascii="宋体" w:hAnsi="宋体" w:eastAsia="宋体"/>
          <w:b w:val="0"/>
          <w:color w:val="444444"/>
          <w:sz w:val="26"/>
        </w:rPr>
        <w:t>基于低空智能感知的城市违建巡查系统</w:t>
      </w:r>
    </w:p>
    <w:p>
      <w:pPr>
        <w:jc w:val="center"/>
      </w:pPr>
      <w:r>
        <w:rPr>
          <w:rFonts w:ascii="宋体" w:hAnsi="宋体" w:eastAsia="宋体"/>
          <w:b w:val="0"/>
          <w:color w:val="777777"/>
          <w:sz w:val="22"/>
        </w:rPr>
        <w:t>——技术底座成熟度评估 · 证明方案可实现性</w:t>
      </w:r>
    </w:p>
    <w:p>
      <w:r>
        <w:br w:type="page"/>
      </w:r>
    </w:p>
    <w:p>
      <w:pPr>
        <w:ind w:left="283"/>
      </w:pPr>
      <w:r>
        <w:rPr>
          <w:rFonts w:ascii="宋体" w:hAnsi="宋体" w:eastAsia="宋体"/>
          <w:b w:val="0"/>
          <w:color w:val="777777"/>
          <w:sz w:val="20"/>
        </w:rPr>
        <w:t>附件 1：技术底座成熟度评估 本报告作为项目报告书附件，证明技术方案的可实现性。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1. TRL 等级总览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TRL 等级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说明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证据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多旋翼飞行器平台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9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商用成熟产品（DJI M300/M350 等）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市场可采购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可见光目标检测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7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算法在公开数据集验证，需现场调优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复用 03/04 成果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违建变化检测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5-6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算法验证，需真实遥感数据训练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实验室验证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检测框→地理坐标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6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模拟环境验证，误差可控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复用 geolocate 模块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时序跟踪滤波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7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多场景验证，鲁棒性良好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复用 track_filter 模块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航线规划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8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商用软件成熟（DJI Pilot 等）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市场可采购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数字孪生调度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4-5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概念验证，需进一步开发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原型阶段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系统集成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TRL 5-6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子系统集成验证，未全链路联调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实验室环境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综合 TRL 评估：6-7（关键子系统已验证，系统集成待完成）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2. 技术底座详细说明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2.1 目标检测算法（TRL 7）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技术来源：复用 2026_03 智能建造赛 / 2026_04 AI+X 赛技术成果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核心能力：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模型：YOLOv12n + P2 小目标检测头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输入分辨率：1024x1024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检测类别：建筑、屋顶加建、临时棚屋、施工机械、堆料区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标签分配：NWD（归一化 Wasserstein 距离）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损失函数：Wise-IoU / Inner-IoU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时序滤波：连续帧确认机制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验证状态：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公开数据集验证（COCO、自定义违建数据集）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边缘端推理验证（Jetson Orin Nano，≥30FPS）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☐ 真实场景飞行验证（待完成）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局限与风险：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真实场景光照、天气、遮挡条件复杂，需现场数据微调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不同城市建筑风格差异大，需域适配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2.2 地理定位系统（TRL 6）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技术来源：复用 geolocate 模块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核心能力：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输入：检测框像素坐标 + 相机内参 + POS 数据（GPS/IMU）+ DEM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输出：WGS-84 地理坐标（经纬度+高程）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方法：针孔相机模型 + 射线-地面求交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精度评估：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条件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平面误差</w:t>
            </w:r>
          </w:p>
        </w:tc>
        <w:tc>
          <w:tcPr>
            <w:tcW w:type="dxa" w:w="2771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高程误差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理想条件（平坦地形、精确 POS）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1-2m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2-3m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一般条件（丘陵地形、消费级 GPS）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3-5m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5-10m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复杂条件（高楼遮挡、多路径）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5-10m</w:t>
            </w:r>
          </w:p>
        </w:tc>
        <w:tc>
          <w:tcPr>
            <w:tcW w:type="dxa" w:w="2771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10-20m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验证状态：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模拟数据验证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地面控制点校验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☐ 大规模飞行验证（待完成）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2.3 时序跟踪滤波（TRL 7）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技术来源：复用 track_filter 模块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核心能力：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多目标跟踪：DeepSORT / ByteTrack 改进版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时序一致性：连续 N 帧确认机制（N=3-5），降低单帧误报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轨迹关联：IOU + 外观特征融合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验证状态：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视频序列验证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多场景测试（城市、郊区、水域）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误报抑制率：反光/阴影误报降低 60-70%</w:t>
      </w:r>
    </w:p>
    <w:p>
      <w:pPr>
        <w:pStyle w:val="Heading3"/>
        <w:spacing w:before="160" w:after="80"/>
      </w:pPr>
      <w:r>
        <w:rPr>
          <w:rFonts w:ascii="黑体" w:hAnsi="黑体" w:eastAsia="黑体"/>
          <w:b/>
          <w:color w:val="1F3A6B"/>
          <w:sz w:val="26"/>
        </w:rPr>
        <w:t>2.4 变化检测（TRL 5-6）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技术方案：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方法：基于深度学习的语义变化检测（Change Detection）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输入：多时相遥感影像（历史 vs 当前）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输出：变化图斑 + 变化类型分类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验证状态：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☑ 公开数据集验证（LEVIR-CD、WHU-CD）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☐ 真实城市数据验证（待完成）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☐ 与规划数据库对接验证（待完成）</w:t>
      </w: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局限：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需要高质量历史影像数据</w:t>
      </w:r>
    </w:p>
    <w:p>
      <w:pPr>
        <w:pStyle w:val="ListBullet"/>
      </w:pPr>
      <w:r>
        <w:rPr>
          <w:rFonts w:ascii="宋体" w:hAnsi="宋体" w:eastAsia="宋体"/>
          <w:b w:val="0"/>
          <w:sz w:val="22"/>
        </w:rPr>
        <w:t>季节性变化（植被、光照）需智能过滤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3. 技术风险与缓解措施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风险项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等级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影响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缓解措施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真实场景检测精度下降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误报/漏报增加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现场数据收集+微调；人机协同审核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定位精度不足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执法取证效力降低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结合 RTK/PPK 提升精度；多源数据融合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飞行器续航限制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单次覆盖面积有限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多架次协同；充电/换电机制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空域审批周期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响应时效性降低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提前申请常态化空域；自动化审批流程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数据安全合规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法律风险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加密传输、脱敏处理、权限管控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天气条件限制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作业窗口受限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气象预报集成；弹性任务调度</w:t>
            </w:r>
          </w:p>
        </w:tc>
      </w:tr>
    </w:tbl>
    <w:p>
      <w:pPr>
        <w:spacing w:after="40"/>
      </w:pP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4. 技术演进路线</w:t>
      </w:r>
    </w:p>
    <w:p>
      <w:pPr>
        <w:spacing w:before="80" w:after="80" w:line="240" w:lineRule="auto"/>
      </w:pPr>
      <w:r>
        <w:rPr>
          <w:rFonts w:ascii="Consolas" w:hAnsi="Consolas" w:eastAsia="宋体"/>
          <w:b w:val="0"/>
          <w:sz w:val="18"/>
        </w:rPr>
        <w:t>当前（TRL 6-7）</w:t>
        <w:br/>
        <w:t xml:space="preserve">  ├── 短期（6-12 个月）：</w:t>
        <w:br/>
        <w:t xml:space="preserve">  │     └── 真实场景飞行验证 → TRL 7-8</w:t>
        <w:br/>
        <w:t xml:space="preserve">  │     └── 域适配微调 → 提升检测精度</w:t>
        <w:br/>
        <w:t xml:space="preserve">  │     └── 规划数据库对接 → 自动化合规校验</w:t>
        <w:br/>
        <w:t xml:space="preserve">  │</w:t>
        <w:br/>
        <w:t xml:space="preserve">  ├── 中期（1-2 年）：</w:t>
        <w:br/>
        <w:t xml:space="preserve">  │     └── 多城市部署验证 → TRL 8</w:t>
        <w:br/>
        <w:t xml:space="preserve">  │     └── 数字孪生平台完善 → TRL 6-7</w:t>
        <w:br/>
        <w:t xml:space="preserve">  │     └── AI 风险预警模型 → 从被动巡查到主动预警</w:t>
        <w:br/>
        <w:t xml:space="preserve">  │</w:t>
        <w:br/>
        <w:t xml:space="preserve">  └── 长期（2-3 年）：</w:t>
        <w:br/>
        <w:t xml:space="preserve">        └── 常态化城市低空治理网络 → TRL 8-9</w:t>
        <w:br/>
        <w:t xml:space="preserve">        └── 自主集群作业 → 多机协同覆盖</w:t>
        <w:br/>
        <w:t xml:space="preserve">        └── 与城市大脑深度集成 → 数据闭环</w:t>
      </w:r>
    </w:p>
    <w:p>
      <w:pPr>
        <w:spacing w:before="40" w:after="40"/>
      </w:pPr>
    </w:p>
    <w:p>
      <w:pPr>
        <w:pStyle w:val="Heading2"/>
        <w:spacing w:before="160" w:after="80"/>
      </w:pPr>
      <w:r>
        <w:rPr>
          <w:rFonts w:ascii="黑体" w:hAnsi="黑体" w:eastAsia="黑体"/>
          <w:b/>
          <w:color w:val="1F3A6B"/>
          <w:sz w:val="28"/>
        </w:rPr>
        <w:t>5. 与现有技术对比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维度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传统人工巡查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卫星遥感监测</w:t>
            </w:r>
          </w:p>
        </w:tc>
        <w:tc>
          <w:tcPr>
            <w:tcW w:type="dxa" w:w="2078"/>
            <w:shd w:val="clear" w:color="auto" w:fill="1F3A6B"/>
          </w:tcPr>
          <w:p>
            <w:pPr>
              <w:spacing w:line="240" w:lineRule="auto"/>
            </w:pPr>
            <w:r>
              <w:rPr>
                <w:rFonts w:ascii="黑体" w:hAnsi="黑体" w:eastAsia="黑体"/>
                <w:b/>
                <w:color w:val="FFFFFF"/>
                <w:sz w:val="21"/>
              </w:rPr>
              <w:t>本方案（低空智能巡查）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空间分辨率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目视级别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0.3-1m（商业卫星）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厘米级（航拍）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时间分辨率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数月/年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数天/周（重访周期）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小时级（按需）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覆盖效率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高（大范围）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中（灵活调度）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成本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高（人力）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中（数据购买）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低（SaaS 模式）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实时性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无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高（边缘端实时检测）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灵活性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高（按需飞行）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自动化程度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低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中（AI 解译）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高（端到端自动）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执法取证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完整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间接</w:t>
            </w:r>
          </w:p>
        </w:tc>
        <w:tc>
          <w:tcPr>
            <w:tcW w:type="dxa" w:w="2078"/>
          </w:tcPr>
          <w:p>
            <w:pPr>
              <w:spacing w:line="240" w:lineRule="auto"/>
            </w:pPr>
            <w:r>
              <w:rPr>
                <w:rFonts w:ascii="宋体" w:hAnsi="宋体" w:eastAsia="宋体"/>
                <w:b w:val="0"/>
                <w:sz w:val="20"/>
              </w:rPr>
              <w:t>直接（带坐标照片/视频）</w:t>
            </w:r>
          </w:p>
        </w:tc>
      </w:tr>
    </w:tbl>
    <w:p>
      <w:pPr>
        <w:spacing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核心优势：兼具高分辨率、高实时性、高灵活性、低成本，且可直接输出执法级证据。</w:t>
      </w:r>
    </w:p>
    <w:p>
      <w:pPr>
        <w:spacing w:before="40" w:after="40"/>
      </w:pPr>
    </w:p>
    <w:p>
      <w:pPr>
        <w:spacing w:line="360" w:lineRule="auto" w:after="80"/>
        <w:ind w:firstLine="480"/>
      </w:pPr>
      <w:r>
        <w:rPr>
          <w:rFonts w:ascii="宋体" w:hAnsi="宋体" w:eastAsia="宋体"/>
          <w:b w:val="0"/>
          <w:sz w:val="24"/>
        </w:rPr>
        <w:t>本报告完成时间：2026-06-19 状态：初稿，随技术进展更新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  <w:rFonts w:eastAsia="宋体" w:ascii="宋体" w:hAnsi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