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F77570" w:rsidRDefault="00F77570" w14:paraId="672A6659" w14:textId="77777777">
      <w:pPr>
        <w:spacing w:line="480" w:lineRule="auto"/>
      </w:pPr>
    </w:p>
    <w:p w:rsidR="00F77570" w:rsidRDefault="00F77570" w14:paraId="0A37501D" w14:textId="77777777">
      <w:pPr>
        <w:spacing w:line="480" w:lineRule="auto"/>
      </w:pPr>
    </w:p>
    <w:p w:rsidR="00F77570" w:rsidRDefault="00BA0A69" w14:paraId="42773000" w14:textId="77777777">
      <w:pPr>
        <w:spacing w:line="480" w:lineRule="auto"/>
        <w:jc w:val="center"/>
      </w:pPr>
      <w:r>
        <w:rPr>
          <w:b/>
          <w:bCs/>
          <w:sz w:val="30"/>
          <w:szCs w:val="30"/>
        </w:rPr>
        <w:t>Informe Técnico Integral — Proyecto Final Ecommify: Arquitectura Híbrida PostgreSQL + MongoDB, Evaluación de Rendimiento y Análisis Crítico</w:t>
      </w:r>
    </w:p>
    <w:p w:rsidR="00F77570" w:rsidRDefault="00F77570" w14:paraId="5DAB6C7B" w14:textId="77777777">
      <w:pPr>
        <w:spacing w:line="480" w:lineRule="auto"/>
      </w:pPr>
    </w:p>
    <w:p w:rsidR="00F77570" w:rsidRDefault="00BA0A69" w14:paraId="691BAA9D" w14:textId="77777777">
      <w:pPr>
        <w:spacing w:line="480" w:lineRule="auto"/>
        <w:jc w:val="center"/>
      </w:pPr>
      <w:r>
        <w:rPr>
          <w:b/>
          <w:bCs/>
          <w:color w:val="2E74B5"/>
        </w:rPr>
        <w:t>Entregable Evaluativo — Etapa 2: Proyecto Final</w:t>
      </w:r>
    </w:p>
    <w:p w:rsidR="00F77570" w:rsidRDefault="00F77570" w14:paraId="02EB378F" w14:textId="77777777">
      <w:pPr>
        <w:spacing w:line="480" w:lineRule="auto"/>
      </w:pPr>
    </w:p>
    <w:p w:rsidR="00F77570" w:rsidRDefault="00F77570" w14:paraId="6A05A809" w14:textId="77777777">
      <w:pPr>
        <w:spacing w:line="480" w:lineRule="auto"/>
      </w:pPr>
    </w:p>
    <w:p w:rsidR="00F77570" w:rsidRDefault="00BA0A69" w14:paraId="242D5723" w14:textId="77777777">
      <w:pPr>
        <w:spacing w:line="480" w:lineRule="auto"/>
        <w:jc w:val="center"/>
      </w:pPr>
      <w:r>
        <w:t>Fredy Orlando Pulido Quintero</w:t>
      </w:r>
    </w:p>
    <w:p w:rsidR="00F77570" w:rsidRDefault="00BA0A69" w14:paraId="38173361" w14:textId="77777777">
      <w:pPr>
        <w:spacing w:line="480" w:lineRule="auto"/>
        <w:jc w:val="center"/>
      </w:pPr>
      <w:r>
        <w:t>Myriam Andrea Martinez Fontecha</w:t>
      </w:r>
    </w:p>
    <w:p w:rsidR="00F77570" w:rsidRDefault="00BA0A69" w14:paraId="441F0C9D" w14:textId="77777777">
      <w:pPr>
        <w:spacing w:line="480" w:lineRule="auto"/>
        <w:jc w:val="center"/>
      </w:pPr>
      <w:r>
        <w:t>Nicolas Felipe Torres Amaya</w:t>
      </w:r>
    </w:p>
    <w:p w:rsidR="00F77570" w:rsidRDefault="00BA0A69" w14:paraId="74FF7CB2" w14:textId="77777777">
      <w:pPr>
        <w:spacing w:line="480" w:lineRule="auto"/>
        <w:jc w:val="center"/>
      </w:pPr>
      <w:r>
        <w:t>Juan Francisco Javier Perez Rivero</w:t>
      </w:r>
    </w:p>
    <w:p w:rsidR="00F77570" w:rsidRDefault="00F77570" w14:paraId="5A39BBE3" w14:textId="77777777">
      <w:pPr>
        <w:spacing w:line="480" w:lineRule="auto"/>
      </w:pPr>
    </w:p>
    <w:p w:rsidR="00F77570" w:rsidRDefault="00BA0A69" w14:paraId="2248B9A6" w14:textId="7C6EB653">
      <w:pPr>
        <w:spacing w:line="480" w:lineRule="auto"/>
        <w:jc w:val="center"/>
      </w:pPr>
      <w:r>
        <w:t xml:space="preserve">Maestría en Arquitectura de Software con Énfasis en </w:t>
      </w:r>
      <w:r w:rsidR="0094650B">
        <w:t xml:space="preserve">Optimización </w:t>
      </w:r>
      <w:r w:rsidR="004B4137">
        <w:t>B</w:t>
      </w:r>
      <w:r w:rsidR="0094650B">
        <w:t>ase de Datos</w:t>
      </w:r>
    </w:p>
    <w:p w:rsidR="00F77570" w:rsidRDefault="00BA0A69" w14:paraId="7A37DB8F" w14:textId="77777777">
      <w:pPr>
        <w:spacing w:line="480" w:lineRule="auto"/>
        <w:jc w:val="center"/>
      </w:pPr>
      <w:r>
        <w:t>Universidad de La Sabana</w:t>
      </w:r>
    </w:p>
    <w:p w:rsidR="00F77570" w:rsidRDefault="00F77570" w14:paraId="41C8F396" w14:textId="77777777">
      <w:pPr>
        <w:spacing w:line="480" w:lineRule="auto"/>
      </w:pPr>
    </w:p>
    <w:p w:rsidR="0094650B" w:rsidRDefault="0094650B" w14:paraId="02D6AA69" w14:textId="77777777">
      <w:pPr>
        <w:spacing w:line="480" w:lineRule="auto"/>
        <w:jc w:val="center"/>
      </w:pPr>
    </w:p>
    <w:p w:rsidR="00F77570" w:rsidRDefault="00BA0A69" w14:paraId="00533DCC" w14:textId="44F840B1">
      <w:pPr>
        <w:spacing w:line="480" w:lineRule="auto"/>
        <w:jc w:val="center"/>
      </w:pPr>
      <w:r>
        <w:t>Bogotá D.C., Colombia · Junio de 2026</w:t>
      </w:r>
    </w:p>
    <w:p w:rsidR="00F77570" w:rsidRDefault="00BA0A69" w14:paraId="72A3D3EC" w14:textId="77777777">
      <w:r>
        <w:br w:type="page"/>
      </w:r>
    </w:p>
    <w:p w:rsidR="00F77570" w:rsidRDefault="00BA0A69" w14:paraId="2602E2A3" w14:textId="77777777">
      <w:pPr>
        <w:pStyle w:val="heading10"/>
      </w:pPr>
      <w:r>
        <w:t>a. Executive Summary</w:t>
      </w:r>
    </w:p>
    <w:p w:rsidR="00F77570" w:rsidRDefault="00F77570" w14:paraId="0D0B940D" w14:textId="77777777">
      <w:pPr>
        <w:spacing w:line="480" w:lineRule="auto"/>
      </w:pPr>
    </w:p>
    <w:p w:rsidR="00F77570" w:rsidRDefault="00BA0A69" w14:paraId="012CE223" w14:textId="77777777">
      <w:pPr>
        <w:spacing w:line="480" w:lineRule="auto"/>
        <w:ind w:firstLine="720"/>
        <w:jc w:val="both"/>
      </w:pPr>
      <w:r>
        <w:t>Ecommify es una plataforma de comercio electrónico modelada sobre el dataset Brazilian E-Commerce de Olist (2016-2018), implementada con una arquitectura de persistencia políglota: PostgreSQL 16 (Supabase) como motor transaccional CP para órdenes, pagos, clientes y catálogo, y MongoDB 7.x (Atlas M0) como motor analítico y de esquema flexible AP para reseñas, geolocalización y proyecciones de dashboard. El proyecto culminó con una suite sistemática de pruebas de carga concurrente que generó hallazgos empíricos significativos, algunos de los cuales contradicen la intuición inicial y obligaron a reinterpretar el alcance real de la comparación entre ambos motores.</w:t>
      </w:r>
    </w:p>
    <w:p w:rsidR="00F77570" w:rsidRDefault="00F77570" w14:paraId="0E27B00A" w14:textId="77777777">
      <w:pPr>
        <w:spacing w:line="480" w:lineRule="auto"/>
      </w:pPr>
    </w:p>
    <w:p w:rsidR="00F77570" w:rsidRDefault="00BA0A69" w14:paraId="5186D551" w14:textId="77777777">
      <w:pPr>
        <w:spacing w:line="480" w:lineRule="auto"/>
        <w:ind w:firstLine="720"/>
        <w:jc w:val="both"/>
      </w:pPr>
      <w:r>
        <w:rPr>
          <w:b/>
          <w:bCs/>
        </w:rPr>
        <w:t xml:space="preserve">Principales optimizaciones aplicadas: </w:t>
      </w:r>
      <w:r>
        <w:t>particionamiento RANGE anual de la tabla orders, tipos avanzados (JSONB, TSTZRANGE, composite types), extensión PostGIS para cálculo geoespacial de envíos, pg_trgm para búsqueda tolerante a errores, vistas materializadas para dashboards, y un pipeline ETL que pre-agrega datos transaccionales hacia una colección analítica en MongoDB (orders_summary) en lugar de exponer JOINs en vivo a las consultas de dashboard.</w:t>
      </w:r>
    </w:p>
    <w:p w:rsidR="00F77570" w:rsidRDefault="00F77570" w14:paraId="60061E4C" w14:textId="77777777">
      <w:pPr>
        <w:spacing w:line="480" w:lineRule="auto"/>
      </w:pPr>
    </w:p>
    <w:p w:rsidR="00F77570" w:rsidRDefault="00BA0A69" w14:paraId="0CB07CA1" w14:textId="77777777">
      <w:pPr>
        <w:spacing w:line="480" w:lineRule="auto"/>
        <w:ind w:firstLine="720"/>
        <w:jc w:val="both"/>
      </w:pPr>
      <w:r>
        <w:rPr>
          <w:b/>
          <w:bCs/>
        </w:rPr>
        <w:t xml:space="preserve">Resultado cuantitativo más relevante: </w:t>
      </w:r>
      <w:r>
        <w:t>la prueba de carga concurrente reveló que, bajo la configuración de free tier utilizada, PostgreSQL en Supabase colapsa abruptamente más allá de 5-10 clientes concurrentes (latencia p95 pasando de 527 ms a 9.978 ms entre concurrencia 1 y 10 para un query de punto), mientras que MongoDB Atlas M0 tolera hasta 30 clientes concurrentes con degradación controlada. El análisis detallado de los datos demuestra que este resultado NO es una limitación inherente de PostgreSQL como motor relacional, sino la saturación del connection pooler de Supabase free tier, cuyo patrón de espera en cola FIFO se ajusta con precisión matemática a los tiempos observados. Esta distinción —validada con evidencia cuantitativa propia del proyecto— es la base del análisis crítico de la Sección f.</w:t>
      </w:r>
    </w:p>
    <w:p w:rsidR="00F77570" w:rsidRDefault="00F77570" w14:paraId="44EAFD9C" w14:textId="77777777">
      <w:pPr>
        <w:spacing w:line="480" w:lineRule="auto"/>
      </w:pPr>
    </w:p>
    <w:p w:rsidR="00F77570" w:rsidRDefault="00BA0A69" w14:paraId="0973C80E" w14:textId="77777777">
      <w:pPr>
        <w:spacing w:line="480" w:lineRule="auto"/>
        <w:ind w:firstLine="720"/>
        <w:jc w:val="both"/>
      </w:pPr>
      <w:r>
        <w:rPr>
          <w:b/>
          <w:bCs/>
        </w:rPr>
        <w:t xml:space="preserve">Recomendaciones estratégicas clave: </w:t>
      </w:r>
      <w:r>
        <w:t>migrar a un pooler dedicado con mayor capacidad de conexiones concurrentes antes de cualquier escalamiento de producción; mantener y reforzar el patrón de pre-agregación ETL hacia MongoDB para cargas analíticas, validado empíricamente como la decisión arquitectónica correcta; e incorporar una capa de caché (Redis) delante de las consultas de dashboard como mitigación de corto plazo mientras se evalúa el upgrade de tier.</w:t>
      </w:r>
    </w:p>
    <w:p w:rsidR="00F77570" w:rsidRDefault="00BA0A69" w14:paraId="4B94D5A5" w14:textId="77777777">
      <w:r>
        <w:br w:type="page"/>
      </w:r>
    </w:p>
    <w:p w:rsidR="00F77570" w:rsidRDefault="00BA0A69" w14:paraId="030136C7" w14:textId="77777777">
      <w:pPr>
        <w:pStyle w:val="heading10"/>
      </w:pPr>
      <w:r>
        <w:t>b. Introducción y Contexto</w:t>
      </w:r>
    </w:p>
    <w:p w:rsidR="00F77570" w:rsidRDefault="00F77570" w14:paraId="3DEEC669" w14:textId="77777777">
      <w:pPr>
        <w:spacing w:line="480" w:lineRule="auto"/>
      </w:pPr>
    </w:p>
    <w:p w:rsidR="00F77570" w:rsidRDefault="00BA0A69" w14:paraId="3AD2F821" w14:textId="77777777">
      <w:pPr>
        <w:pStyle w:val="heading20"/>
      </w:pPr>
      <w:r>
        <w:t>b.1 Problema de Negocio</w:t>
      </w:r>
    </w:p>
    <w:p w:rsidR="00F77570" w:rsidRDefault="00F77570" w14:paraId="3656B9AB" w14:textId="77777777">
      <w:pPr>
        <w:spacing w:line="480" w:lineRule="auto"/>
      </w:pPr>
    </w:p>
    <w:p w:rsidR="00F77570" w:rsidRDefault="00BA0A69" w14:paraId="665B134A" w14:textId="77777777">
      <w:pPr>
        <w:spacing w:line="480" w:lineRule="auto"/>
        <w:ind w:firstLine="720"/>
        <w:jc w:val="both"/>
      </w:pPr>
      <w:r>
        <w:t>Ecommify simula un marketplace de comercio electrónico inspirado en la operación real de Olist, la principal plataforma de e-commerce brasileña. El problema de negocio que orienta el diseño técnico es doble: (a) garantizar consistencia transaccional estricta para órdenes, pagos e inventario, donde un error de duplicación o pérdida de escritura tiene impacto financiero directo; y (b) soportar consultas analíticas y de catálogo de alto volumen de lectura —búsqueda de productos, dashboards de ventas, reseñas— donde la disponibilidad y la velocidad de lectura son más críticas que la consistencia inmediata.</w:t>
      </w:r>
    </w:p>
    <w:p w:rsidR="00F77570" w:rsidRDefault="00F77570" w14:paraId="45FB0818" w14:textId="77777777">
      <w:pPr>
        <w:spacing w:line="480" w:lineRule="auto"/>
      </w:pPr>
    </w:p>
    <w:p w:rsidR="00F77570" w:rsidRDefault="00BA0A69" w14:paraId="2DAF447B" w14:textId="77777777">
      <w:pPr>
        <w:pStyle w:val="heading20"/>
      </w:pPr>
      <w:r>
        <w:t>b.2 Objetivos y Alcance</w:t>
      </w:r>
    </w:p>
    <w:p w:rsidR="00F77570" w:rsidRDefault="00F77570" w14:paraId="049F31CB" w14:textId="77777777">
      <w:pPr>
        <w:spacing w:line="480" w:lineRule="auto"/>
      </w:pPr>
    </w:p>
    <w:p w:rsidR="00F77570" w:rsidRDefault="00BA0A69" w14:paraId="32DC530E" w14:textId="77777777">
      <w:pPr>
        <w:pStyle w:val="ListParagraph"/>
        <w:numPr>
          <w:ilvl w:val="0"/>
          <w:numId w:val="5"/>
        </w:numPr>
      </w:pPr>
      <w:r>
        <w:t>Implementar una arquitectura híbrida PostgreSQL + MongoDB con justificación CAP por entidad.</w:t>
      </w:r>
    </w:p>
    <w:p w:rsidR="00F77570" w:rsidRDefault="00BA0A69" w14:paraId="4ECC5793" w14:textId="77777777">
      <w:pPr>
        <w:pStyle w:val="ListParagraph"/>
        <w:numPr>
          <w:ilvl w:val="0"/>
          <w:numId w:val="5"/>
        </w:numPr>
      </w:pPr>
      <w:r>
        <w:t>Optimizar ambos motores con tipos avanzados, índices, particionamiento y extensiones específicas del dominio (PostGIS, pg_trgm).</w:t>
      </w:r>
    </w:p>
    <w:p w:rsidR="00F77570" w:rsidRDefault="00BA0A69" w14:paraId="1CEF78A2" w14:textId="77777777">
      <w:pPr>
        <w:pStyle w:val="ListParagraph"/>
        <w:numPr>
          <w:ilvl w:val="0"/>
          <w:numId w:val="5"/>
        </w:numPr>
      </w:pPr>
      <w:r>
        <w:t>Ejecutar pruebas sistemáticas de carga concurrente y escalabilidad con metodología comparable entre motores.</w:t>
      </w:r>
    </w:p>
    <w:p w:rsidR="00F77570" w:rsidRDefault="00BA0A69" w14:paraId="02B39398" w14:textId="77777777">
      <w:pPr>
        <w:pStyle w:val="ListParagraph"/>
        <w:numPr>
          <w:ilvl w:val="0"/>
          <w:numId w:val="5"/>
        </w:numPr>
      </w:pPr>
      <w:r>
        <w:t>Producir un análisis crítico, basado en evidencia empírica propia, sobre las fortalezas y limitaciones reales de cada motor en el contexto específico de Ecommify.</w:t>
      </w:r>
    </w:p>
    <w:p w:rsidR="00F77570" w:rsidRDefault="00F77570" w14:paraId="53128261" w14:textId="77777777">
      <w:pPr>
        <w:spacing w:line="480" w:lineRule="auto"/>
      </w:pPr>
    </w:p>
    <w:p w:rsidR="00F77570" w:rsidRDefault="00BA0A69" w14:paraId="3B3582D8" w14:textId="77777777">
      <w:pPr>
        <w:spacing w:line="480" w:lineRule="auto"/>
        <w:ind w:firstLine="720"/>
        <w:jc w:val="both"/>
      </w:pPr>
      <w:r>
        <w:t>El alcance se limita explícitamente al ambiente de free tier (Supabase Free + MongoDB Atlas M0), una decisión consciente del equipo para esta fase académica. Esta limitación se documenta exhaustivamente en la Sección e, ya que resultó ser, inesperadamente, el factor explicativo dominante de los resultados de rendimiento obtenidos.</w:t>
      </w:r>
    </w:p>
    <w:p w:rsidR="00F77570" w:rsidRDefault="00F77570" w14:paraId="62486C05" w14:textId="77777777">
      <w:pPr>
        <w:spacing w:line="480" w:lineRule="auto"/>
      </w:pPr>
    </w:p>
    <w:p w:rsidR="00F77570" w:rsidRDefault="00BA0A69" w14:paraId="5F17B98E" w14:textId="77777777">
      <w:pPr>
        <w:pStyle w:val="heading20"/>
      </w:pPr>
      <w:r>
        <w:t>b.3 Metodología Aplicada</w:t>
      </w:r>
    </w:p>
    <w:p w:rsidR="00F77570" w:rsidRDefault="00F77570" w14:paraId="4101652C" w14:textId="77777777">
      <w:pPr>
        <w:spacing w:line="480" w:lineRule="auto"/>
      </w:pPr>
    </w:p>
    <w:p w:rsidR="00F77570" w:rsidRDefault="00BA0A69" w14:paraId="4AB8827A" w14:textId="77777777">
      <w:pPr>
        <w:spacing w:line="480" w:lineRule="auto"/>
        <w:ind w:firstLine="720"/>
        <w:jc w:val="both"/>
      </w:pPr>
      <w:r>
        <w:t>Se siguió un proceso de cuatro fases: (1) diseño conceptual y lógico con matriz de decisión CAP por entidad; (2) implementación técnica sobre Supabase y MongoDB Atlas ejecutada íntegramente desde notebooks de Google Colab para garantizar reproducibilidad; (3) captura de evidencias cuantitativas mediante EXPLAIN ANALYZE (PostgreSQL) y .explain() (MongoDB) antes/después de optimizaciones; y (4) pruebas de carga concurrente con un harness único compartido entre ambos motores, diseñado específicamente para que las métricas —throughput, percentiles de latencia, tasa de error— fuesen directamente comparables.</w:t>
      </w:r>
    </w:p>
    <w:p w:rsidR="00F77570" w:rsidRDefault="00BA0A69" w14:paraId="4B99056E" w14:textId="77777777">
      <w:r>
        <w:br w:type="page"/>
      </w:r>
    </w:p>
    <w:p w:rsidR="00F77570" w:rsidRDefault="00BA0A69" w14:paraId="65CE00EC" w14:textId="77777777">
      <w:pPr>
        <w:pStyle w:val="heading10"/>
      </w:pPr>
      <w:r>
        <w:t>c. Arquitectura y Diseño</w:t>
      </w:r>
    </w:p>
    <w:p w:rsidR="00F77570" w:rsidRDefault="00F77570" w14:paraId="1299C43A" w14:textId="77777777">
      <w:pPr>
        <w:spacing w:line="480" w:lineRule="auto"/>
      </w:pPr>
    </w:p>
    <w:p w:rsidR="00F77570" w:rsidRDefault="00BA0A69" w14:paraId="7526CE6A" w14:textId="77777777">
      <w:pPr>
        <w:pStyle w:val="heading20"/>
      </w:pPr>
      <w:r>
        <w:t>c.1 Arquitectura Híbrida Implementada</w:t>
      </w:r>
    </w:p>
    <w:p w:rsidR="00F77570" w:rsidRDefault="00F77570" w14:paraId="4DDBEF00" w14:textId="77777777">
      <w:pPr>
        <w:spacing w:line="480" w:lineRule="auto"/>
      </w:pPr>
    </w:p>
    <w:p w:rsidR="00F77570" w:rsidRDefault="00BA0A69" w14:paraId="414AA1AE" w14:textId="77777777">
      <w:pPr>
        <w:spacing w:line="480" w:lineRule="auto"/>
        <w:ind w:firstLine="720"/>
        <w:jc w:val="both"/>
      </w:pPr>
      <w:r>
        <w:t>La arquitectura final consta de dos motores desplegados en infraestructura cloud free tier, conectados por un pipeline ETL unidireccional ejecutado desde Colab. PostgreSQL 16 en Supabase aloja las nueve tablas transaccionales con particionamiento RANGE en orders; MongoDB 7.x en Atlas M0 aloja cuatro colecciones (geolocation, reviews, products_catalog, orders_summary), las dos últimas alimentadas por ETL.</w:t>
      </w:r>
    </w:p>
    <w:p w:rsidR="00F77570" w:rsidRDefault="00F77570" w14:paraId="3461D779" w14:textId="77777777">
      <w:pPr>
        <w:spacing w:line="480" w:lineRule="auto"/>
      </w:pPr>
    </w:p>
    <w:p w:rsidR="00F77570" w:rsidRDefault="00BA0A69" w14:paraId="721F23E9" w14:textId="77777777">
      <w:pPr>
        <w:pStyle w:val="heading20"/>
      </w:pPr>
      <w:r>
        <w:t>c.2 Matriz de Decisión: Qué Datos van a PostgreSQL vs. MongoDB</w:t>
      </w:r>
    </w:p>
    <w:p w:rsidR="00F77570" w:rsidRDefault="00F77570" w14:paraId="3CF2D8B6" w14:textId="77777777">
      <w:pPr>
        <w:spacing w:line="480" w:lineRule="auto"/>
      </w:pPr>
    </w:p>
    <w:p w:rsidR="00F77570" w:rsidRDefault="00BA0A69" w14:paraId="106E44A4" w14:textId="77777777">
      <w:pPr>
        <w:spacing w:line="480" w:lineRule="auto"/>
        <w:jc w:val="center"/>
      </w:pPr>
      <w:r>
        <w:rPr>
          <w:b/>
          <w:bCs/>
        </w:rPr>
        <w:t>Tabla 1</w:t>
      </w:r>
    </w:p>
    <w:p w:rsidR="00F77570" w:rsidRDefault="00BA0A69" w14:paraId="1825714E" w14:textId="77777777">
      <w:pPr>
        <w:spacing w:line="480" w:lineRule="auto"/>
        <w:jc w:val="center"/>
      </w:pPr>
      <w:r>
        <w:rPr>
          <w:i/>
          <w:iCs/>
        </w:rPr>
        <w:t>Matriz de Asignación de Entidades por Motor — Criterios y Posición CAP</w:t>
      </w:r>
    </w:p>
    <w:p w:rsidR="00F77570" w:rsidRDefault="00F77570" w14:paraId="0FB78278"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96"/>
        <w:gridCol w:w="1689"/>
        <w:gridCol w:w="2876"/>
        <w:gridCol w:w="1642"/>
        <w:gridCol w:w="1457"/>
      </w:tblGrid>
      <w:tr w:rsidR="00F77570" w14:paraId="6C7CA2A7"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03A5926C" w14:textId="77777777">
            <w:pPr>
              <w:spacing w:line="230" w:lineRule="auto"/>
              <w:jc w:val="center"/>
            </w:pPr>
            <w:r>
              <w:rPr>
                <w:b/>
                <w:bCs/>
                <w:color w:val="FFFFFF"/>
                <w:sz w:val="19"/>
                <w:szCs w:val="19"/>
              </w:rPr>
              <w:t>Entidad</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373217E" w14:textId="77777777">
            <w:pPr>
              <w:spacing w:line="230" w:lineRule="auto"/>
              <w:jc w:val="center"/>
            </w:pPr>
            <w:r>
              <w:rPr>
                <w:b/>
                <w:bCs/>
                <w:color w:val="FFFFFF"/>
                <w:sz w:val="19"/>
                <w:szCs w:val="19"/>
              </w:rPr>
              <w:t>Motor</w:t>
            </w:r>
          </w:p>
        </w:tc>
        <w:tc>
          <w:tcPr>
            <w:tcW w:w="29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5E052FC3" w14:textId="77777777">
            <w:pPr>
              <w:spacing w:line="230" w:lineRule="auto"/>
              <w:jc w:val="center"/>
            </w:pPr>
            <w:r>
              <w:rPr>
                <w:b/>
                <w:bCs/>
                <w:color w:val="FFFFFF"/>
                <w:sz w:val="19"/>
                <w:szCs w:val="19"/>
              </w:rPr>
              <w:t>Justificación</w:t>
            </w:r>
          </w:p>
        </w:tc>
        <w:tc>
          <w:tcPr>
            <w:tcW w:w="16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3090BED9" w14:textId="77777777">
            <w:pPr>
              <w:spacing w:line="230" w:lineRule="auto"/>
              <w:jc w:val="center"/>
            </w:pPr>
            <w:r>
              <w:rPr>
                <w:b/>
                <w:bCs/>
                <w:color w:val="FFFFFF"/>
                <w:sz w:val="19"/>
                <w:szCs w:val="19"/>
              </w:rPr>
              <w:t>CAP</w:t>
            </w:r>
          </w:p>
        </w:tc>
        <w:tc>
          <w:tcPr>
            <w:tcW w:w="14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3BBB655" w14:textId="77777777">
            <w:pPr>
              <w:spacing w:line="230" w:lineRule="auto"/>
              <w:jc w:val="center"/>
            </w:pPr>
            <w:r>
              <w:rPr>
                <w:b/>
                <w:bCs/>
                <w:color w:val="FFFFFF"/>
                <w:sz w:val="19"/>
                <w:szCs w:val="19"/>
              </w:rPr>
              <w:t>Validado por</w:t>
            </w:r>
          </w:p>
        </w:tc>
      </w:tr>
      <w:tr w:rsidR="00F77570" w14:paraId="3B5C1E52"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719F807" w14:textId="77777777">
            <w:pPr>
              <w:spacing w:line="230" w:lineRule="auto"/>
              <w:jc w:val="center"/>
            </w:pPr>
            <w:r>
              <w:rPr>
                <w:color w:val="000000"/>
                <w:sz w:val="19"/>
                <w:szCs w:val="19"/>
              </w:rPr>
              <w:t>orders, order_items, order_payments</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B560B76" w14:textId="77777777">
            <w:pPr>
              <w:spacing w:line="230" w:lineRule="auto"/>
              <w:jc w:val="center"/>
            </w:pPr>
            <w:r>
              <w:rPr>
                <w:color w:val="000000"/>
                <w:sz w:val="19"/>
                <w:szCs w:val="19"/>
              </w:rPr>
              <w:t>PostgreSQL</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D3FFF0B" w14:textId="77777777">
            <w:pPr>
              <w:spacing w:line="230" w:lineRule="auto"/>
            </w:pPr>
            <w:r>
              <w:rPr>
                <w:color w:val="000000"/>
                <w:sz w:val="19"/>
                <w:szCs w:val="19"/>
              </w:rPr>
              <w:t>Integridad referencial estricta; una orden o pago duplicado es un error financiero irreversible</w:t>
            </w:r>
          </w:p>
        </w:tc>
        <w:tc>
          <w:tcPr>
            <w:tcW w:w="1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6FEBBE2" w14:textId="77777777">
            <w:pPr>
              <w:spacing w:line="230" w:lineRule="auto"/>
              <w:jc w:val="center"/>
            </w:pPr>
            <w:r>
              <w:rPr>
                <w:color w:val="000000"/>
                <w:sz w:val="19"/>
                <w:szCs w:val="19"/>
              </w:rPr>
              <w:t>CP</w:t>
            </w:r>
          </w:p>
        </w:tc>
        <w:tc>
          <w:tcPr>
            <w:tcW w:w="14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88496CD" w14:textId="77777777">
            <w:pPr>
              <w:spacing w:line="230" w:lineRule="auto"/>
              <w:jc w:val="center"/>
            </w:pPr>
            <w:r>
              <w:rPr>
                <w:color w:val="000000"/>
                <w:sz w:val="19"/>
                <w:szCs w:val="19"/>
              </w:rPr>
              <w:t>Esquema FK+CHECK</w:t>
            </w:r>
          </w:p>
        </w:tc>
      </w:tr>
      <w:tr w:rsidR="00F77570" w14:paraId="7FCD054B"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B6CCED2" w14:textId="77777777">
            <w:pPr>
              <w:spacing w:line="230" w:lineRule="auto"/>
              <w:jc w:val="center"/>
            </w:pPr>
            <w:r>
              <w:rPr>
                <w:color w:val="000000"/>
                <w:sz w:val="19"/>
                <w:szCs w:val="19"/>
              </w:rPr>
              <w:t>customers, sellers</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74782F4" w14:textId="77777777">
            <w:pPr>
              <w:spacing w:line="230" w:lineRule="auto"/>
              <w:jc w:val="center"/>
            </w:pPr>
            <w:r>
              <w:rPr>
                <w:color w:val="000000"/>
                <w:sz w:val="19"/>
                <w:szCs w:val="19"/>
              </w:rPr>
              <w:t>PostgreSQL</w:t>
            </w:r>
          </w:p>
        </w:tc>
        <w:tc>
          <w:tcPr>
            <w:tcW w:w="29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655603E" w14:textId="77777777">
            <w:pPr>
              <w:spacing w:line="230" w:lineRule="auto"/>
            </w:pPr>
            <w:r>
              <w:rPr>
                <w:color w:val="000000"/>
                <w:sz w:val="19"/>
                <w:szCs w:val="19"/>
              </w:rPr>
              <w:t>Identidad única, consistencia requerida para autenticación y direcciones</w:t>
            </w:r>
          </w:p>
        </w:tc>
        <w:tc>
          <w:tcPr>
            <w:tcW w:w="16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F13259F" w14:textId="77777777">
            <w:pPr>
              <w:spacing w:line="230" w:lineRule="auto"/>
              <w:jc w:val="center"/>
            </w:pPr>
            <w:r>
              <w:rPr>
                <w:color w:val="000000"/>
                <w:sz w:val="19"/>
                <w:szCs w:val="19"/>
              </w:rPr>
              <w:t>CP</w:t>
            </w:r>
          </w:p>
        </w:tc>
        <w:tc>
          <w:tcPr>
            <w:tcW w:w="14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7DD68BDE" w14:textId="77777777">
            <w:pPr>
              <w:spacing w:line="230" w:lineRule="auto"/>
              <w:jc w:val="center"/>
            </w:pPr>
            <w:r>
              <w:rPr>
                <w:color w:val="000000"/>
                <w:sz w:val="19"/>
                <w:szCs w:val="19"/>
              </w:rPr>
              <w:t>Esquema FK+UNIQUE</w:t>
            </w:r>
          </w:p>
        </w:tc>
      </w:tr>
      <w:tr w:rsidR="00F77570" w14:paraId="74661C00"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0820AF9" w14:textId="77777777">
            <w:pPr>
              <w:spacing w:line="230" w:lineRule="auto"/>
              <w:jc w:val="center"/>
            </w:pPr>
            <w:r>
              <w:rPr>
                <w:color w:val="000000"/>
                <w:sz w:val="19"/>
                <w:szCs w:val="19"/>
              </w:rPr>
              <w:t>products</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DBDD6D0" w14:textId="77777777">
            <w:pPr>
              <w:spacing w:line="230" w:lineRule="auto"/>
              <w:jc w:val="center"/>
            </w:pPr>
            <w:r>
              <w:rPr>
                <w:color w:val="000000"/>
                <w:sz w:val="19"/>
                <w:szCs w:val="19"/>
              </w:rPr>
              <w:t>Mixta (PG+MDB)</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C8122BC" w14:textId="77777777">
            <w:pPr>
              <w:spacing w:line="230" w:lineRule="auto"/>
            </w:pPr>
            <w:r>
              <w:rPr>
                <w:color w:val="000000"/>
                <w:sz w:val="19"/>
                <w:szCs w:val="19"/>
              </w:rPr>
              <w:t>Atributos físicos en PG; specifications variables por categoría en JSONB/MongoDB</w:t>
            </w:r>
          </w:p>
        </w:tc>
        <w:tc>
          <w:tcPr>
            <w:tcW w:w="1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8D54C06" w14:textId="77777777">
            <w:pPr>
              <w:spacing w:line="230" w:lineRule="auto"/>
              <w:jc w:val="center"/>
            </w:pPr>
            <w:r>
              <w:rPr>
                <w:color w:val="000000"/>
                <w:sz w:val="19"/>
                <w:szCs w:val="19"/>
              </w:rPr>
              <w:t>CP/AP</w:t>
            </w:r>
          </w:p>
        </w:tc>
        <w:tc>
          <w:tcPr>
            <w:tcW w:w="14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51EE25D" w14:textId="77777777">
            <w:pPr>
              <w:spacing w:line="230" w:lineRule="auto"/>
              <w:jc w:val="center"/>
            </w:pPr>
            <w:r>
              <w:rPr>
                <w:color w:val="000000"/>
                <w:sz w:val="19"/>
                <w:szCs w:val="19"/>
              </w:rPr>
              <w:t>JSONB + ETL</w:t>
            </w:r>
          </w:p>
        </w:tc>
      </w:tr>
      <w:tr w:rsidR="00F77570" w14:paraId="6945A816"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5D15452B" w14:textId="77777777">
            <w:pPr>
              <w:spacing w:line="230" w:lineRule="auto"/>
              <w:jc w:val="center"/>
            </w:pPr>
            <w:r>
              <w:rPr>
                <w:color w:val="000000"/>
                <w:sz w:val="19"/>
                <w:szCs w:val="19"/>
              </w:rPr>
              <w:t>reviews</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485D7021" w14:textId="77777777">
            <w:pPr>
              <w:spacing w:line="230" w:lineRule="auto"/>
              <w:jc w:val="center"/>
            </w:pPr>
            <w:r>
              <w:rPr>
                <w:color w:val="000000"/>
                <w:sz w:val="19"/>
                <w:szCs w:val="19"/>
              </w:rPr>
              <w:t>MongoDB</w:t>
            </w:r>
          </w:p>
        </w:tc>
        <w:tc>
          <w:tcPr>
            <w:tcW w:w="29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4506E089" w14:textId="77777777">
            <w:pPr>
              <w:spacing w:line="230" w:lineRule="auto"/>
            </w:pPr>
            <w:r>
              <w:rPr>
                <w:color w:val="000000"/>
                <w:sz w:val="19"/>
                <w:szCs w:val="19"/>
              </w:rPr>
              <w:t>41,1% de campos opcionales (EDA); esquema flexible evita columnas NULL masivas</w:t>
            </w:r>
          </w:p>
        </w:tc>
        <w:tc>
          <w:tcPr>
            <w:tcW w:w="16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7774093" w14:textId="77777777">
            <w:pPr>
              <w:spacing w:line="230" w:lineRule="auto"/>
              <w:jc w:val="center"/>
            </w:pPr>
            <w:r>
              <w:rPr>
                <w:color w:val="000000"/>
                <w:sz w:val="19"/>
                <w:szCs w:val="19"/>
              </w:rPr>
              <w:t>AP</w:t>
            </w:r>
          </w:p>
        </w:tc>
        <w:tc>
          <w:tcPr>
            <w:tcW w:w="14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C075361" w14:textId="77777777">
            <w:pPr>
              <w:spacing w:line="230" w:lineRule="auto"/>
              <w:jc w:val="center"/>
            </w:pPr>
            <w:r>
              <w:rPr>
                <w:color w:val="000000"/>
                <w:sz w:val="19"/>
                <w:szCs w:val="19"/>
              </w:rPr>
              <w:t>Carga real 100.150 docs</w:t>
            </w:r>
          </w:p>
        </w:tc>
      </w:tr>
      <w:tr w:rsidR="00F77570" w14:paraId="4BA684C2"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9612EAD" w14:textId="77777777">
            <w:pPr>
              <w:spacing w:line="230" w:lineRule="auto"/>
              <w:jc w:val="center"/>
            </w:pPr>
            <w:r>
              <w:rPr>
                <w:color w:val="000000"/>
                <w:sz w:val="19"/>
                <w:szCs w:val="19"/>
              </w:rPr>
              <w:t>geolocation</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0A59EA3" w14:textId="77777777">
            <w:pPr>
              <w:spacing w:line="230" w:lineRule="auto"/>
              <w:jc w:val="center"/>
            </w:pPr>
            <w:r>
              <w:rPr>
                <w:color w:val="000000"/>
                <w:sz w:val="19"/>
                <w:szCs w:val="19"/>
              </w:rPr>
              <w:t>MongoDB</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AF5F49D" w14:textId="77777777">
            <w:pPr>
              <w:spacing w:line="230" w:lineRule="auto"/>
            </w:pPr>
            <w:r>
              <w:rPr>
                <w:color w:val="000000"/>
                <w:sz w:val="19"/>
                <w:szCs w:val="19"/>
              </w:rPr>
              <w:t>1M+ registros; consultas geoespaciales 2dsphere de alto volumen de lectura</w:t>
            </w:r>
          </w:p>
        </w:tc>
        <w:tc>
          <w:tcPr>
            <w:tcW w:w="1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8A0A447" w14:textId="77777777">
            <w:pPr>
              <w:spacing w:line="230" w:lineRule="auto"/>
              <w:jc w:val="center"/>
            </w:pPr>
            <w:r>
              <w:rPr>
                <w:color w:val="000000"/>
                <w:sz w:val="19"/>
                <w:szCs w:val="19"/>
              </w:rPr>
              <w:t>AP</w:t>
            </w:r>
          </w:p>
        </w:tc>
        <w:tc>
          <w:tcPr>
            <w:tcW w:w="14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EA1CD47" w14:textId="77777777">
            <w:pPr>
              <w:spacing w:line="230" w:lineRule="auto"/>
              <w:jc w:val="center"/>
            </w:pPr>
            <w:r>
              <w:rPr>
                <w:color w:val="000000"/>
                <w:sz w:val="19"/>
                <w:szCs w:val="19"/>
              </w:rPr>
              <w:t>Índice 2dsphere</w:t>
            </w:r>
          </w:p>
        </w:tc>
      </w:tr>
      <w:tr w:rsidR="00F77570" w14:paraId="7231867C"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5FA6ABED" w14:textId="77777777">
            <w:pPr>
              <w:spacing w:line="230" w:lineRule="auto"/>
              <w:jc w:val="center"/>
            </w:pPr>
            <w:r>
              <w:rPr>
                <w:color w:val="000000"/>
                <w:sz w:val="19"/>
                <w:szCs w:val="19"/>
              </w:rPr>
              <w:t>orders_summary</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1C696CD" w14:textId="77777777">
            <w:pPr>
              <w:spacing w:line="230" w:lineRule="auto"/>
              <w:jc w:val="center"/>
            </w:pPr>
            <w:r>
              <w:rPr>
                <w:color w:val="000000"/>
                <w:sz w:val="19"/>
                <w:szCs w:val="19"/>
              </w:rPr>
              <w:t>MongoDB (ETL)</w:t>
            </w:r>
          </w:p>
        </w:tc>
        <w:tc>
          <w:tcPr>
            <w:tcW w:w="29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512E7FD1" w14:textId="77777777">
            <w:pPr>
              <w:spacing w:line="230" w:lineRule="auto"/>
            </w:pPr>
            <w:r>
              <w:rPr>
                <w:color w:val="000000"/>
                <w:sz w:val="19"/>
                <w:szCs w:val="19"/>
              </w:rPr>
              <w:t>Proyección analítica pre-agregada; evita exponer JOINs en vivo a dashboards</w:t>
            </w:r>
          </w:p>
        </w:tc>
        <w:tc>
          <w:tcPr>
            <w:tcW w:w="16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22A49DD1" w14:textId="77777777">
            <w:pPr>
              <w:spacing w:line="230" w:lineRule="auto"/>
              <w:jc w:val="center"/>
            </w:pPr>
            <w:r>
              <w:rPr>
                <w:color w:val="000000"/>
                <w:sz w:val="19"/>
                <w:szCs w:val="19"/>
              </w:rPr>
              <w:t>AP</w:t>
            </w:r>
          </w:p>
        </w:tc>
        <w:tc>
          <w:tcPr>
            <w:tcW w:w="14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7E6E3F7F" w14:textId="77777777">
            <w:pPr>
              <w:spacing w:line="230" w:lineRule="auto"/>
              <w:jc w:val="center"/>
            </w:pPr>
            <w:r>
              <w:rPr>
                <w:color w:val="000000"/>
                <w:sz w:val="19"/>
                <w:szCs w:val="19"/>
              </w:rPr>
              <w:t>Notebook 05 (Sección e)</w:t>
            </w:r>
          </w:p>
        </w:tc>
      </w:tr>
    </w:tbl>
    <w:p w:rsidR="00F77570" w:rsidRDefault="00F77570" w14:paraId="1FC39945" w14:textId="77777777">
      <w:pPr>
        <w:spacing w:line="480" w:lineRule="auto"/>
      </w:pPr>
    </w:p>
    <w:p w:rsidR="00F77570" w:rsidRDefault="00BA0A69" w14:paraId="5CD9BC1A" w14:textId="77777777">
      <w:pPr>
        <w:spacing w:line="480" w:lineRule="auto"/>
      </w:pPr>
      <w:r>
        <w:rPr>
          <w:i/>
          <w:iCs/>
        </w:rPr>
        <w:t xml:space="preserve">Nota. </w:t>
      </w:r>
      <w:r>
        <w:t>La columna "Validado por" para orders_summary remite directamente a la evidencia empírica generada en este proyecto (Sección e), que confirmó la necesidad de evitar JOINs en vivo bajo carga concurrente.</w:t>
      </w:r>
    </w:p>
    <w:p w:rsidR="00F77570" w:rsidRDefault="00F77570" w14:paraId="0562CB0E" w14:textId="77777777">
      <w:pPr>
        <w:spacing w:line="480" w:lineRule="auto"/>
      </w:pPr>
    </w:p>
    <w:p w:rsidR="00F77570" w:rsidRDefault="00BA0A69" w14:paraId="51139353" w14:textId="77777777">
      <w:pPr>
        <w:pStyle w:val="heading20"/>
      </w:pPr>
      <w:r>
        <w:t>c.3 Diagrama de Arquitectura Híbrida</w:t>
      </w:r>
    </w:p>
    <w:p w:rsidR="00F77570" w:rsidRDefault="00F77570" w14:paraId="34CE0A41" w14:textId="77777777">
      <w:pPr>
        <w:spacing w:line="480" w:lineRule="auto"/>
      </w:pPr>
    </w:p>
    <w:p w:rsidR="00F77570" w:rsidRDefault="00BA0A69" w14:paraId="69E8846F" w14:textId="77777777">
      <w:pPr>
        <w:spacing w:line="480" w:lineRule="auto"/>
        <w:ind w:firstLine="720"/>
        <w:jc w:val="both"/>
      </w:pPr>
      <w:r>
        <w:t>El flujo de datos sigue una dirección única: PostgreSQL es la fuente de verdad transaccional; un pipeline ETL (ejecutado como notebooks Colab en esta fase académica, y como CronJob de Kubernetes en el diseño de producción) proyecta subconjuntos hacia MongoDB. Las consultas de escritura transaccional van siempre a PostgreSQL; las consultas de lectura analítica y de catálogo flexible van a MongoDB.</w:t>
      </w:r>
    </w:p>
    <w:p w:rsidR="00AC54F3" w:rsidRDefault="00AC54F3" w14:paraId="47B9B3FC" w14:textId="4F9C7121">
      <w:pPr>
        <w:spacing w:line="480" w:lineRule="auto"/>
        <w:ind w:firstLine="720"/>
        <w:jc w:val="both"/>
      </w:pPr>
      <w:r w:rsidRPr="00AC54F3">
        <w:drawing>
          <wp:inline distT="0" distB="0" distL="0" distR="0" wp14:anchorId="3FACE903" wp14:editId="53298863">
            <wp:extent cx="5636302" cy="2766364"/>
            <wp:effectExtent l="0" t="0" r="0" b="0"/>
            <wp:docPr id="1398936965" name="Imagen 1">
              <a:extLst xmlns:a="http://schemas.openxmlformats.org/drawingml/2006/main">
                <a:ext uri="{FF2B5EF4-FFF2-40B4-BE49-F238E27FC236}">
                  <a16:creationId xmlns:a16="http://schemas.microsoft.com/office/drawing/2014/main" id="{F528BCE7-DF7F-4E46-8E0B-1ECD43AD8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36965" name=""/>
                    <pic:cNvPicPr/>
                  </pic:nvPicPr>
                  <pic:blipFill>
                    <a:blip r:embed="rId7"/>
                    <a:stretch>
                      <a:fillRect/>
                    </a:stretch>
                  </pic:blipFill>
                  <pic:spPr>
                    <a:xfrm>
                      <a:off x="0" y="0"/>
                      <a:ext cx="5670995" cy="2783392"/>
                    </a:xfrm>
                    <a:prstGeom prst="rect">
                      <a:avLst/>
                    </a:prstGeom>
                  </pic:spPr>
                </pic:pic>
              </a:graphicData>
            </a:graphic>
          </wp:inline>
        </w:drawing>
      </w:r>
    </w:p>
    <w:p w:rsidR="00F77570" w:rsidRDefault="00F77570" w14:paraId="62EBF3C5" w14:textId="77777777">
      <w:pPr>
        <w:spacing w:line="480" w:lineRule="auto"/>
      </w:pPr>
    </w:p>
    <w:p w:rsidR="00F77570" w:rsidRDefault="00F77570" w14:paraId="7BF33A1E" w14:textId="77777777">
      <w:pPr>
        <w:spacing w:line="480" w:lineRule="auto"/>
      </w:pPr>
    </w:p>
    <w:p w:rsidR="00F77570" w:rsidRDefault="00BA0A69" w14:paraId="6B9844B1" w14:textId="77777777">
      <w:pPr>
        <w:pStyle w:val="heading20"/>
      </w:pPr>
      <w:r>
        <w:t>c.4 Análisis del Teorema CAP Aplicado (Síntesis)</w:t>
      </w:r>
    </w:p>
    <w:p w:rsidR="00F77570" w:rsidRDefault="00F77570" w14:paraId="2946DB82" w14:textId="77777777">
      <w:pPr>
        <w:spacing w:line="480" w:lineRule="auto"/>
      </w:pPr>
    </w:p>
    <w:p w:rsidR="00F77570" w:rsidRDefault="00BA0A69" w14:paraId="6584B10B" w14:textId="77777777">
      <w:pPr>
        <w:spacing w:line="480" w:lineRule="auto"/>
        <w:ind w:firstLine="720"/>
        <w:jc w:val="both"/>
      </w:pPr>
      <w:r>
        <w:t>PostgreSQL se posiciona como sistema CP: garantiza consistencia transaccional ACID, sacrificando disponibilidad en escenarios de partición o sobrecarga extrema. MongoDB se posiciona como sistema AP: prioriza disponibilidad y tolerancia a partición, aceptando consistencia eventual en sus réplicas. Este análisis se profundiza por módulo y con escenarios de falla concretos en la Sección f, incorporando los hallazgos empíricos de la Sección e.</w:t>
      </w:r>
    </w:p>
    <w:p w:rsidR="00F77570" w:rsidRDefault="00BA0A69" w14:paraId="5997CC1D" w14:textId="77777777">
      <w:r>
        <w:br w:type="page"/>
      </w:r>
    </w:p>
    <w:p w:rsidR="00F77570" w:rsidRDefault="00BA0A69" w14:paraId="4439EB5F" w14:textId="77777777">
      <w:pPr>
        <w:pStyle w:val="heading10"/>
      </w:pPr>
      <w:r>
        <w:t>d. Implementación Técnica (Resumen)</w:t>
      </w:r>
    </w:p>
    <w:p w:rsidR="00F77570" w:rsidRDefault="00F77570" w14:paraId="110FFD37" w14:textId="77777777">
      <w:pPr>
        <w:spacing w:line="480" w:lineRule="auto"/>
      </w:pPr>
    </w:p>
    <w:p w:rsidR="00F77570" w:rsidRDefault="00BA0A69" w14:paraId="4D6EAE88" w14:textId="77777777">
      <w:pPr>
        <w:pStyle w:val="heading20"/>
      </w:pPr>
      <w:r>
        <w:t>d.1 PostgreSQL — Resumen de Implementación</w:t>
      </w:r>
    </w:p>
    <w:p w:rsidR="00F77570" w:rsidRDefault="00F77570" w14:paraId="3FE9F23F" w14:textId="77777777">
      <w:pPr>
        <w:spacing w:line="480" w:lineRule="auto"/>
      </w:pPr>
    </w:p>
    <w:p w:rsidR="00F77570" w:rsidRDefault="00BA0A69" w14:paraId="410C4E86" w14:textId="77777777">
      <w:pPr>
        <w:pStyle w:val="ListParagraph"/>
        <w:numPr>
          <w:ilvl w:val="0"/>
          <w:numId w:val="2"/>
        </w:numPr>
      </w:pPr>
      <w:r>
        <w:rPr>
          <w:b/>
          <w:bCs/>
        </w:rPr>
        <w:t xml:space="preserve">Tipos avanzados: </w:t>
      </w:r>
      <w:r>
        <w:t>JSONB para products.specifications (esquema variable por categoría sin columnas NULL masivas); TEXT[] para photos/tags; TSTZRANGE con EXCLUDE constraint en promotions (impide solapamiento sin lógica de aplicación); composite types address y dimensions reutilizables entre tablas.</w:t>
      </w:r>
    </w:p>
    <w:p w:rsidR="00F77570" w:rsidRDefault="00BA0A69" w14:paraId="76F1A0F1" w14:textId="77777777">
      <w:pPr>
        <w:pStyle w:val="ListParagraph"/>
        <w:numPr>
          <w:ilvl w:val="0"/>
          <w:numId w:val="2"/>
        </w:numPr>
      </w:pPr>
      <w:r>
        <w:rPr>
          <w:b/>
          <w:bCs/>
        </w:rPr>
        <w:t xml:space="preserve">Extensiones: </w:t>
      </w:r>
      <w:r>
        <w:t>PostGIS (activada en Supabase vía Dashboard → Extensions, sin necesidad de upgrade de plan) para columnas GEOGRAPHY generadas automáticamente (STORED) desde lat/lng; pg_trgm para búsqueda fuzzy de categorías; pgcrypto para gen_random_uuid() y futuro hashing de credenciales; btree_gin para índices mixtos JSONB+escalar.</w:t>
      </w:r>
    </w:p>
    <w:p w:rsidR="00F77570" w:rsidRDefault="00BA0A69" w14:paraId="2CC9D31B" w14:textId="77777777">
      <w:pPr>
        <w:pStyle w:val="ListParagraph"/>
        <w:numPr>
          <w:ilvl w:val="0"/>
          <w:numId w:val="2"/>
        </w:numPr>
      </w:pPr>
      <w:r>
        <w:rPr>
          <w:b/>
          <w:bCs/>
        </w:rPr>
        <w:t xml:space="preserve">Particionamiento: </w:t>
      </w:r>
      <w:r>
        <w:t>orders particionada por RANGE anual (orders_2016, orders_2017, orders_2018, orders_default), decisión justificada por la concentración del 95% de los datos en 2017-2018 según el EDA previo del proyecto.</w:t>
      </w:r>
    </w:p>
    <w:p w:rsidR="00F77570" w:rsidRDefault="00BA0A69" w14:paraId="74E4584B" w14:textId="77777777">
      <w:pPr>
        <w:pStyle w:val="ListParagraph"/>
        <w:numPr>
          <w:ilvl w:val="0"/>
          <w:numId w:val="2"/>
        </w:numPr>
      </w:pPr>
      <w:r>
        <w:rPr>
          <w:b/>
          <w:bCs/>
        </w:rPr>
        <w:t xml:space="preserve">Decisión NO obvia #1: </w:t>
      </w:r>
      <w:r>
        <w:t>el particionamiento por order_purchase_timestamp beneficia consultas por rango de fecha, pero penaliza lookups puntuales por order_id que no incluyan la columna de partición —forzando escaneo de todas las particiones. Esta decisión se validó deliberadamente en la Sección e, confirmando el trade-off documentado en el Entregable 2.</w:t>
      </w:r>
    </w:p>
    <w:p w:rsidR="00F77570" w:rsidRDefault="00F77570" w14:paraId="1F72F646" w14:textId="77777777">
      <w:pPr>
        <w:spacing w:line="480" w:lineRule="auto"/>
      </w:pPr>
    </w:p>
    <w:p w:rsidR="009218AB" w:rsidRDefault="009218AB" w14:paraId="7F05E1B1" w14:textId="77777777">
      <w:pPr>
        <w:spacing w:line="480" w:lineRule="auto"/>
      </w:pPr>
    </w:p>
    <w:p w:rsidR="00F77570" w:rsidRDefault="00BA0A69" w14:paraId="01366203" w14:textId="77777777">
      <w:pPr>
        <w:pStyle w:val="heading20"/>
      </w:pPr>
      <w:r>
        <w:t>d.2 MongoDB — Resumen de Implementación</w:t>
      </w:r>
    </w:p>
    <w:p w:rsidR="00F77570" w:rsidRDefault="00F77570" w14:paraId="08CE6F91" w14:textId="77777777">
      <w:pPr>
        <w:spacing w:line="480" w:lineRule="auto"/>
      </w:pPr>
    </w:p>
    <w:p w:rsidR="00F77570" w:rsidRDefault="00BA0A69" w14:paraId="3C7C400A" w14:textId="77777777">
      <w:pPr>
        <w:pStyle w:val="ListParagraph"/>
        <w:numPr>
          <w:ilvl w:val="0"/>
          <w:numId w:val="2"/>
        </w:numPr>
      </w:pPr>
      <w:r>
        <w:rPr>
          <w:b/>
          <w:bCs/>
        </w:rPr>
        <w:t xml:space="preserve">Patrones de modelado: </w:t>
      </w:r>
      <w:r>
        <w:t>Computed Pattern en products_catalog (campos pre-calculados); Subset Pattern en orders_summary (proyección desnormalizada de 5 tablas PostgreSQL); esquema polimórfico en reviews (41,1% de campos opcionales reflejando el comportamiento real del dataset Olist).</w:t>
      </w:r>
    </w:p>
    <w:p w:rsidR="00F77570" w:rsidRDefault="00BA0A69" w14:paraId="712FF634" w14:textId="77777777">
      <w:pPr>
        <w:pStyle w:val="ListParagraph"/>
        <w:numPr>
          <w:ilvl w:val="0"/>
          <w:numId w:val="2"/>
        </w:numPr>
      </w:pPr>
      <w:r>
        <w:rPr>
          <w:b/>
          <w:bCs/>
        </w:rPr>
        <w:t xml:space="preserve">Índices: </w:t>
      </w:r>
      <w:r>
        <w:t>2dsphere en geolocation.location (consultas $near, $geoWithin); índices compuestos en orders_summary (customer.state + status) para dashboards; text index en reviews para búsqueda de comentarios.</w:t>
      </w:r>
    </w:p>
    <w:p w:rsidR="00F77570" w:rsidRDefault="00BA0A69" w14:paraId="7D4EB7A9" w14:textId="77777777">
      <w:pPr>
        <w:pStyle w:val="ListParagraph"/>
        <w:numPr>
          <w:ilvl w:val="0"/>
          <w:numId w:val="2"/>
        </w:numPr>
      </w:pPr>
      <w:r>
        <w:rPr>
          <w:b/>
          <w:bCs/>
        </w:rPr>
        <w:t xml:space="preserve">Decisión NO obvia #2: </w:t>
      </w:r>
      <w:r>
        <w:t>orders_summary se alimenta por ETL pre-agregado en lugar de exponer un aggregation pipeline con $lookup en vivo sobre 5 colecciones equivalentes a las tablas PostgreSQL. Esta decisión, tomada en el diseño original por razones de separación de responsabilidades, resultó ser también la decisión correcta desde la perspectiva de rendimiento bajo concurrencia, como confirma la Sección e.</w:t>
      </w:r>
    </w:p>
    <w:p w:rsidR="00F77570" w:rsidRDefault="00F77570" w14:paraId="61CDCEAD" w14:textId="77777777">
      <w:pPr>
        <w:spacing w:line="480" w:lineRule="auto"/>
      </w:pPr>
    </w:p>
    <w:p w:rsidR="00F77570" w:rsidRDefault="00BA0A69" w14:paraId="11DBB964" w14:textId="77777777">
      <w:pPr>
        <w:pStyle w:val="heading20"/>
      </w:pPr>
      <w:r>
        <w:t>d.3 Diseño Teórico de Sharding y Replica Sets (Síntesis)</w:t>
      </w:r>
    </w:p>
    <w:p w:rsidR="00F77570" w:rsidRDefault="00F77570" w14:paraId="6BB9E253" w14:textId="77777777">
      <w:pPr>
        <w:spacing w:line="480" w:lineRule="auto"/>
      </w:pPr>
    </w:p>
    <w:p w:rsidR="00F77570" w:rsidRDefault="00BA0A69" w14:paraId="1E0B52DA" w14:textId="77777777">
      <w:pPr>
        <w:spacing w:line="480" w:lineRule="auto"/>
        <w:ind w:firstLine="720"/>
        <w:jc w:val="both"/>
      </w:pPr>
      <w:r>
        <w:t>El diseño teórico de sharding —documentado en detalle en el entregable formativo correspondiente— propuso una shard key compuesta {customer.state: 1, _id: "hashed"} para mitigar el hotspot geográfico de São Paulo (41,9% de clientes) sin sacrificar eficiencia de consultas por estado. Esta estrategia no se desplegó en Atlas M0 (requiere M10+) pero queda lista para la fase de escalamiento de producción descrita en la Sección g.</w:t>
      </w:r>
    </w:p>
    <w:p w:rsidR="00F77570" w:rsidRDefault="00BA0A69" w14:paraId="23DE523C" w14:textId="77777777">
      <w:r>
        <w:br w:type="page"/>
      </w:r>
    </w:p>
    <w:p w:rsidR="00F77570" w:rsidRDefault="00BA0A69" w14:paraId="2F8DF771" w14:textId="77777777">
      <w:pPr>
        <w:pStyle w:val="heading10"/>
      </w:pPr>
      <w:r>
        <w:t>e. Evaluación de Rendimiento y Escalabilidad</w:t>
      </w:r>
    </w:p>
    <w:p w:rsidR="00F77570" w:rsidRDefault="00F77570" w14:paraId="52E56223" w14:textId="77777777">
      <w:pPr>
        <w:spacing w:line="480" w:lineRule="auto"/>
      </w:pPr>
    </w:p>
    <w:p w:rsidR="00F77570" w:rsidRDefault="00BA0A69" w14:paraId="0AF5E2CA" w14:textId="77777777">
      <w:pPr>
        <w:pStyle w:val="heading20"/>
      </w:pPr>
      <w:r>
        <w:t>e.1 Metodología de Pruebas Aplicada</w:t>
      </w:r>
    </w:p>
    <w:p w:rsidR="00F77570" w:rsidRDefault="00F77570" w14:paraId="07547A01" w14:textId="77777777">
      <w:pPr>
        <w:spacing w:line="480" w:lineRule="auto"/>
      </w:pPr>
    </w:p>
    <w:p w:rsidR="00F77570" w:rsidRDefault="00BA0A69" w14:paraId="7C89F059" w14:textId="77777777">
      <w:pPr>
        <w:spacing w:line="480" w:lineRule="auto"/>
        <w:ind w:firstLine="720"/>
        <w:jc w:val="both"/>
      </w:pPr>
      <w:r>
        <w:t>Se diseñó un harness de carga único (basado en ThreadPoolExecutor de Python) reutilizado sin modificación para PostgreSQL (vía psycopg2 con pool de conexiones dedicado) y MongoDB (vía pymongo, cliente thread-safe con pool interno). Esta decisión metodológica garantiza que throughput, percentiles de latencia (p50/p95/p99) y tasa de error se calculan exactamente igual en ambos motores, evitando el sesgo de comparar herramientas de benchmarking distintas con formatos de salida no homologables.</w:t>
      </w:r>
    </w:p>
    <w:p w:rsidR="00F77570" w:rsidRDefault="00F77570" w14:paraId="5043CB0F" w14:textId="77777777">
      <w:pPr>
        <w:spacing w:line="480" w:lineRule="auto"/>
      </w:pPr>
    </w:p>
    <w:p w:rsidR="00F77570" w:rsidRDefault="00BA0A69" w14:paraId="0FE57165" w14:textId="77777777">
      <w:pPr>
        <w:spacing w:line="480" w:lineRule="auto"/>
        <w:ind w:firstLine="720"/>
        <w:jc w:val="both"/>
      </w:pPr>
      <w:r>
        <w:t>La matriz de pruebas cubrió tres dimensiones:</w:t>
      </w:r>
    </w:p>
    <w:p w:rsidR="00F77570" w:rsidRDefault="00BA0A69" w14:paraId="6D60C4C5" w14:textId="77777777">
      <w:pPr>
        <w:pStyle w:val="ListParagraph"/>
        <w:numPr>
          <w:ilvl w:val="0"/>
          <w:numId w:val="2"/>
        </w:numPr>
      </w:pPr>
      <w:r>
        <w:rPr>
          <w:b/>
          <w:bCs/>
        </w:rPr>
        <w:t xml:space="preserve">Concurrencia: </w:t>
      </w:r>
      <w:r>
        <w:t>1, 5, 10, 15, 20 y 30 clientes simultáneos, 10 segundos por punto de medición.</w:t>
      </w:r>
    </w:p>
    <w:p w:rsidR="00F77570" w:rsidRDefault="00BA0A69" w14:paraId="629C2F0E" w14:textId="77777777">
      <w:pPr>
        <w:pStyle w:val="ListParagraph"/>
        <w:numPr>
          <w:ilvl w:val="0"/>
          <w:numId w:val="2"/>
        </w:numPr>
      </w:pPr>
      <w:r>
        <w:rPr>
          <w:b/>
          <w:bCs/>
        </w:rPr>
        <w:t xml:space="preserve">Tipo de query: </w:t>
      </w:r>
      <w:r>
        <w:t>punto (lookup directo por ID) vs. compleja (JOIN/aggregation tipo dashboard agrupando por estado).</w:t>
      </w:r>
    </w:p>
    <w:p w:rsidR="00F77570" w:rsidRDefault="00BA0A69" w14:paraId="1CC40571" w14:textId="77777777">
      <w:pPr>
        <w:pStyle w:val="ListParagraph"/>
        <w:numPr>
          <w:ilvl w:val="0"/>
          <w:numId w:val="2"/>
        </w:numPr>
      </w:pPr>
      <w:r>
        <w:rPr>
          <w:b/>
          <w:bCs/>
        </w:rPr>
        <w:t xml:space="preserve">Escalabilidad de dataset: </w:t>
      </w:r>
      <w:r>
        <w:t>mismo aggregation sobre tres subconjuntos crecientes definidos por las particiones temporales ya existentes (2016 solo; 2016-2017; dataset completo), a concurrencia fija de 10 clientes.</w:t>
      </w:r>
    </w:p>
    <w:p w:rsidR="00F77570" w:rsidRDefault="00F77570" w14:paraId="07459315" w14:textId="77777777">
      <w:pPr>
        <w:spacing w:line="480" w:lineRule="auto"/>
      </w:pPr>
    </w:p>
    <w:p w:rsidR="00F77570" w:rsidRDefault="00BA0A69" w14:paraId="5C2E4507" w14:textId="77777777">
      <w:pPr>
        <w:spacing w:line="480" w:lineRule="auto"/>
        <w:ind w:firstLine="720"/>
        <w:jc w:val="both"/>
      </w:pPr>
      <w:r>
        <w:t>Ejecutado el 21 de junio de 2026 sobre las instancias reales del proyecto: Supabase Free Tier (PostgreSQL 16 + PostGIS) y MongoDB Atlas M0 (ecommify-cluster), ambas bajo la cuenta institucional de INSOFTCOL. Todos los resultados presentados en esta sección son datos empíricos medidos, no estimados.</w:t>
      </w:r>
    </w:p>
    <w:p w:rsidR="00F77570" w:rsidRDefault="00F77570" w14:paraId="6537F28F" w14:textId="77777777">
      <w:pPr>
        <w:spacing w:line="480" w:lineRule="auto"/>
      </w:pPr>
    </w:p>
    <w:p w:rsidR="00F77570" w:rsidRDefault="00BA0A69" w14:paraId="4CEF9D3E" w14:textId="77777777">
      <w:pPr>
        <w:pStyle w:val="heading20"/>
      </w:pPr>
      <w:r>
        <w:t>e.2 Resultados — Matriz de Concurrencia</w:t>
      </w:r>
    </w:p>
    <w:p w:rsidR="00F77570" w:rsidRDefault="00F77570" w14:paraId="6DFB9E20" w14:textId="77777777">
      <w:pPr>
        <w:spacing w:line="480" w:lineRule="auto"/>
      </w:pPr>
    </w:p>
    <w:p w:rsidR="00F77570" w:rsidRDefault="00BA0A69" w14:paraId="67ADAF3D" w14:textId="77777777">
      <w:pPr>
        <w:spacing w:line="480" w:lineRule="auto"/>
        <w:jc w:val="center"/>
      </w:pPr>
      <w:r>
        <w:rPr>
          <w:b/>
          <w:bCs/>
        </w:rPr>
        <w:t>Tabla 2</w:t>
      </w:r>
    </w:p>
    <w:p w:rsidR="00F77570" w:rsidRDefault="00BA0A69" w14:paraId="25E98F65" w14:textId="77777777">
      <w:pPr>
        <w:spacing w:line="480" w:lineRule="auto"/>
        <w:jc w:val="center"/>
      </w:pPr>
      <w:r>
        <w:rPr>
          <w:i/>
          <w:iCs/>
        </w:rPr>
        <w:t>PostgreSQL (Supabase) — Throughput y Latencia por Nivel de Concurrencia</w:t>
      </w:r>
    </w:p>
    <w:p w:rsidR="00F77570" w:rsidRDefault="00F77570" w14:paraId="70DF9E56"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87"/>
        <w:gridCol w:w="1422"/>
        <w:gridCol w:w="1402"/>
        <w:gridCol w:w="1402"/>
        <w:gridCol w:w="1402"/>
        <w:gridCol w:w="1402"/>
        <w:gridCol w:w="1143"/>
      </w:tblGrid>
      <w:tr w:rsidR="00F77570" w14:paraId="3CB82FC7"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444BE67" w14:textId="77777777">
            <w:pPr>
              <w:spacing w:line="230" w:lineRule="auto"/>
              <w:jc w:val="center"/>
            </w:pPr>
            <w:r>
              <w:rPr>
                <w:b/>
                <w:bCs/>
                <w:color w:val="FFFFFF"/>
                <w:sz w:val="19"/>
                <w:szCs w:val="19"/>
              </w:rPr>
              <w:t>Tipo</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3E90C94" w14:textId="77777777">
            <w:pPr>
              <w:spacing w:line="230" w:lineRule="auto"/>
              <w:jc w:val="center"/>
            </w:pPr>
            <w:r>
              <w:rPr>
                <w:b/>
                <w:bCs/>
                <w:color w:val="FFFFFF"/>
                <w:sz w:val="19"/>
                <w:szCs w:val="19"/>
              </w:rPr>
              <w:t>Concurrencia</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40E0A53" w14:textId="77777777">
            <w:pPr>
              <w:spacing w:line="230" w:lineRule="auto"/>
              <w:jc w:val="center"/>
            </w:pPr>
            <w:r>
              <w:rPr>
                <w:b/>
                <w:bCs/>
                <w:color w:val="FFFFFF"/>
                <w:sz w:val="19"/>
                <w:szCs w:val="19"/>
              </w:rPr>
              <w:t>Throughput (ops/s)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C85315E" w14:textId="77777777">
            <w:pPr>
              <w:spacing w:line="230" w:lineRule="auto"/>
              <w:jc w:val="center"/>
            </w:pPr>
            <w:r>
              <w:rPr>
                <w:b/>
                <w:bCs/>
                <w:color w:val="FFFFFF"/>
                <w:sz w:val="19"/>
                <w:szCs w:val="19"/>
              </w:rPr>
              <w:t>p50 (ms)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F7909CD" w14:textId="77777777">
            <w:pPr>
              <w:spacing w:line="230" w:lineRule="auto"/>
              <w:jc w:val="center"/>
            </w:pPr>
            <w:r>
              <w:rPr>
                <w:b/>
                <w:bCs/>
                <w:color w:val="FFFFFF"/>
                <w:sz w:val="19"/>
                <w:szCs w:val="19"/>
              </w:rPr>
              <w:t>p95 (ms)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C87C092" w14:textId="77777777">
            <w:pPr>
              <w:spacing w:line="230" w:lineRule="auto"/>
              <w:jc w:val="center"/>
            </w:pPr>
            <w:r>
              <w:rPr>
                <w:b/>
                <w:bCs/>
                <w:color w:val="FFFFFF"/>
                <w:sz w:val="19"/>
                <w:szCs w:val="19"/>
              </w:rPr>
              <w:t>p99 (ms)</w:t>
            </w:r>
          </w:p>
        </w:tc>
        <w:tc>
          <w:tcPr>
            <w:tcW w:w="10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AAC4B91" w14:textId="77777777">
            <w:pPr>
              <w:spacing w:line="230" w:lineRule="auto"/>
              <w:jc w:val="center"/>
            </w:pPr>
            <w:r>
              <w:rPr>
                <w:b/>
                <w:bCs/>
                <w:color w:val="FFFFFF"/>
                <w:sz w:val="19"/>
                <w:szCs w:val="19"/>
              </w:rPr>
              <w:t>Errores</w:t>
            </w:r>
          </w:p>
        </w:tc>
      </w:tr>
      <w:tr w:rsidR="00F77570" w14:paraId="54974C2F"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E6B4BEE"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49841BE" w14:textId="77777777">
            <w:pPr>
              <w:spacing w:line="230" w:lineRule="auto"/>
              <w:jc w:val="center"/>
            </w:pPr>
            <w:r>
              <w:rPr>
                <w:color w:val="000000"/>
                <w:sz w:val="19"/>
                <w:szCs w:val="19"/>
              </w:rPr>
              <w:t>1</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99E2A8F" w14:textId="77777777">
            <w:pPr>
              <w:spacing w:line="230" w:lineRule="auto"/>
              <w:jc w:val="center"/>
            </w:pPr>
            <w:r>
              <w:rPr>
                <w:color w:val="000000"/>
                <w:sz w:val="19"/>
                <w:szCs w:val="19"/>
              </w:rPr>
              <w:t>2.0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E6E66DC" w14:textId="77777777">
            <w:pPr>
              <w:spacing w:line="230" w:lineRule="auto"/>
              <w:jc w:val="center"/>
            </w:pPr>
            <w:r>
              <w:rPr>
                <w:color w:val="000000"/>
                <w:sz w:val="19"/>
                <w:szCs w:val="19"/>
              </w:rPr>
              <w:t>521.28</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9897431" w14:textId="77777777">
            <w:pPr>
              <w:spacing w:line="230" w:lineRule="auto"/>
              <w:jc w:val="center"/>
            </w:pPr>
            <w:r>
              <w:rPr>
                <w:color w:val="000000"/>
                <w:sz w:val="19"/>
                <w:szCs w:val="19"/>
              </w:rPr>
              <w:t>526.56</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423DD84" w14:textId="77777777">
            <w:pPr>
              <w:spacing w:line="230" w:lineRule="auto"/>
              <w:jc w:val="center"/>
            </w:pPr>
            <w:r>
              <w:rPr>
                <w:color w:val="000000"/>
                <w:sz w:val="19"/>
                <w:szCs w:val="19"/>
              </w:rPr>
              <w:t>530.42</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B584315" w14:textId="77777777">
            <w:pPr>
              <w:spacing w:line="230" w:lineRule="auto"/>
              <w:jc w:val="center"/>
            </w:pPr>
            <w:r>
              <w:rPr>
                <w:color w:val="000000"/>
                <w:sz w:val="19"/>
                <w:szCs w:val="19"/>
              </w:rPr>
              <w:t>0</w:t>
            </w:r>
          </w:p>
        </w:tc>
      </w:tr>
      <w:tr w:rsidR="00F77570" w14:paraId="09CF5619"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EF16A7E"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78941E47" w14:textId="77777777">
            <w:pPr>
              <w:spacing w:line="230" w:lineRule="auto"/>
              <w:jc w:val="center"/>
            </w:pPr>
            <w:r>
              <w:rPr>
                <w:color w:val="000000"/>
                <w:sz w:val="19"/>
                <w:szCs w:val="19"/>
              </w:rPr>
              <w:t>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1E01AE08" w14:textId="77777777">
            <w:pPr>
              <w:spacing w:line="230" w:lineRule="auto"/>
              <w:jc w:val="center"/>
            </w:pPr>
            <w:r>
              <w:rPr>
                <w:color w:val="000000"/>
                <w:sz w:val="19"/>
                <w:szCs w:val="19"/>
              </w:rPr>
              <w:t>3.5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59657DAD" w14:textId="77777777">
            <w:pPr>
              <w:spacing w:line="230" w:lineRule="auto"/>
              <w:jc w:val="center"/>
            </w:pPr>
            <w:r>
              <w:rPr>
                <w:color w:val="000000"/>
                <w:sz w:val="19"/>
                <w:szCs w:val="19"/>
              </w:rPr>
              <w:t>1.569,33</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15E59C3B" w14:textId="77777777">
            <w:pPr>
              <w:spacing w:line="230" w:lineRule="auto"/>
              <w:jc w:val="center"/>
            </w:pPr>
            <w:r>
              <w:rPr>
                <w:color w:val="000000"/>
                <w:sz w:val="19"/>
                <w:szCs w:val="19"/>
              </w:rPr>
              <w:t>3.725,92</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FD18D93" w14:textId="77777777">
            <w:pPr>
              <w:spacing w:line="230" w:lineRule="auto"/>
              <w:jc w:val="center"/>
            </w:pPr>
            <w:r>
              <w:rPr>
                <w:color w:val="000000"/>
                <w:sz w:val="19"/>
                <w:szCs w:val="19"/>
              </w:rPr>
              <w:t>3.845,81</w:t>
            </w:r>
          </w:p>
        </w:tc>
        <w:tc>
          <w:tcPr>
            <w:tcW w:w="10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2322F001" w14:textId="77777777">
            <w:pPr>
              <w:spacing w:line="230" w:lineRule="auto"/>
              <w:jc w:val="center"/>
            </w:pPr>
            <w:r>
              <w:rPr>
                <w:color w:val="000000"/>
                <w:sz w:val="19"/>
                <w:szCs w:val="19"/>
              </w:rPr>
              <w:t>0</w:t>
            </w:r>
          </w:p>
        </w:tc>
      </w:tr>
      <w:tr w:rsidR="00F77570" w14:paraId="1BFE65A9"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7A421DA"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D369756" w14:textId="77777777">
            <w:pPr>
              <w:spacing w:line="230" w:lineRule="auto"/>
              <w:jc w:val="center"/>
            </w:pPr>
            <w:r>
              <w:rPr>
                <w:color w:val="000000"/>
                <w:sz w:val="19"/>
                <w:szCs w:val="19"/>
              </w:rPr>
              <w:t>10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4672A24" w14:textId="77777777">
            <w:pPr>
              <w:spacing w:line="230" w:lineRule="auto"/>
              <w:jc w:val="center"/>
            </w:pPr>
            <w:r>
              <w:rPr>
                <w:color w:val="000000"/>
                <w:sz w:val="19"/>
                <w:szCs w:val="19"/>
              </w:rPr>
              <w:t>2.2</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A991F85" w14:textId="77777777">
            <w:pPr>
              <w:spacing w:line="230" w:lineRule="auto"/>
              <w:jc w:val="center"/>
            </w:pPr>
            <w:r>
              <w:rPr>
                <w:color w:val="000000"/>
                <w:sz w:val="19"/>
                <w:szCs w:val="19"/>
              </w:rPr>
              <w:t>1.643,92</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1D27532" w14:textId="77777777">
            <w:pPr>
              <w:spacing w:line="230" w:lineRule="auto"/>
              <w:jc w:val="center"/>
            </w:pPr>
            <w:r>
              <w:rPr>
                <w:color w:val="000000"/>
                <w:sz w:val="19"/>
                <w:szCs w:val="19"/>
              </w:rPr>
              <w:t>9.978,00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90CEF96" w14:textId="77777777">
            <w:pPr>
              <w:spacing w:line="230" w:lineRule="auto"/>
              <w:jc w:val="center"/>
            </w:pPr>
            <w:r>
              <w:rPr>
                <w:color w:val="000000"/>
                <w:sz w:val="19"/>
                <w:szCs w:val="19"/>
              </w:rPr>
              <w:t>10.129,05</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B7EFE02" w14:textId="77777777">
            <w:pPr>
              <w:spacing w:line="230" w:lineRule="auto"/>
              <w:jc w:val="center"/>
            </w:pPr>
            <w:r>
              <w:rPr>
                <w:color w:val="000000"/>
                <w:sz w:val="19"/>
                <w:szCs w:val="19"/>
              </w:rPr>
              <w:t>0</w:t>
            </w:r>
          </w:p>
        </w:tc>
      </w:tr>
      <w:tr w:rsidR="00F77570" w14:paraId="1917D6DD"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3C9D442F"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33CFEC6B"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C964F70"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51080211" w14:textId="77777777">
            <w:pPr>
              <w:spacing w:line="230" w:lineRule="auto"/>
              <w:jc w:val="center"/>
            </w:pPr>
            <w:r>
              <w:rPr>
                <w:color w:val="000000"/>
                <w:sz w:val="19"/>
                <w:szCs w:val="19"/>
              </w:rPr>
              <w:t>13.988,43</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2E4856DC" w14:textId="77777777">
            <w:pPr>
              <w:spacing w:line="230" w:lineRule="auto"/>
              <w:jc w:val="center"/>
            </w:pPr>
            <w:r>
              <w:rPr>
                <w:color w:val="000000"/>
                <w:sz w:val="19"/>
                <w:szCs w:val="19"/>
              </w:rPr>
              <w:t>13.988,74</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7ECE66F8" w14:textId="77777777">
            <w:pPr>
              <w:spacing w:line="230" w:lineRule="auto"/>
              <w:jc w:val="center"/>
            </w:pPr>
            <w:r>
              <w:rPr>
                <w:color w:val="000000"/>
                <w:sz w:val="19"/>
                <w:szCs w:val="19"/>
              </w:rPr>
              <w:t>13.988,77</w:t>
            </w:r>
          </w:p>
        </w:tc>
        <w:tc>
          <w:tcPr>
            <w:tcW w:w="10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33113584" w14:textId="77777777">
            <w:pPr>
              <w:spacing w:line="230" w:lineRule="auto"/>
              <w:jc w:val="center"/>
            </w:pPr>
            <w:r>
              <w:rPr>
                <w:color w:val="000000"/>
                <w:sz w:val="19"/>
                <w:szCs w:val="19"/>
              </w:rPr>
              <w:t>0</w:t>
            </w:r>
          </w:p>
        </w:tc>
      </w:tr>
      <w:tr w:rsidR="00F77570" w14:paraId="00AC78DC"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52C348ED"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5007C906" w14:textId="77777777">
            <w:pPr>
              <w:spacing w:line="230" w:lineRule="auto"/>
              <w:jc w:val="center"/>
            </w:pPr>
            <w:r>
              <w:rPr>
                <w:color w:val="000000"/>
                <w:sz w:val="19"/>
                <w:szCs w:val="19"/>
              </w:rPr>
              <w:t>20</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7E3A48B2"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7E6A9035" w14:textId="77777777">
            <w:pPr>
              <w:spacing w:line="230" w:lineRule="auto"/>
              <w:jc w:val="center"/>
            </w:pPr>
            <w:r>
              <w:rPr>
                <w:color w:val="000000"/>
                <w:sz w:val="19"/>
                <w:szCs w:val="19"/>
              </w:rPr>
              <w:t>19.274,98</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11C387C3" w14:textId="77777777">
            <w:pPr>
              <w:spacing w:line="230" w:lineRule="auto"/>
              <w:jc w:val="center"/>
            </w:pPr>
            <w:r>
              <w:rPr>
                <w:color w:val="000000"/>
                <w:sz w:val="19"/>
                <w:szCs w:val="19"/>
              </w:rPr>
              <w:t>19.275,44</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5CEEE18D" w14:textId="77777777">
            <w:pPr>
              <w:spacing w:line="230" w:lineRule="auto"/>
              <w:jc w:val="center"/>
            </w:pPr>
            <w:r>
              <w:rPr>
                <w:color w:val="000000"/>
                <w:sz w:val="19"/>
                <w:szCs w:val="19"/>
              </w:rPr>
              <w:t>19.275,65</w:t>
            </w:r>
          </w:p>
        </w:tc>
        <w:tc>
          <w:tcPr>
            <w:tcW w:w="10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44240AAE" w14:textId="77777777">
            <w:pPr>
              <w:spacing w:line="230" w:lineRule="auto"/>
              <w:jc w:val="center"/>
            </w:pPr>
            <w:r>
              <w:rPr>
                <w:color w:val="000000"/>
                <w:sz w:val="19"/>
                <w:szCs w:val="19"/>
              </w:rPr>
              <w:t>5</w:t>
            </w:r>
          </w:p>
        </w:tc>
      </w:tr>
      <w:tr w:rsidR="00F77570" w14:paraId="7AC7F4FD"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5BF2203F"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219897CE" w14:textId="77777777">
            <w:pPr>
              <w:spacing w:line="230" w:lineRule="auto"/>
              <w:jc w:val="center"/>
            </w:pPr>
            <w:r>
              <w:rPr>
                <w:color w:val="000000"/>
                <w:sz w:val="19"/>
                <w:szCs w:val="19"/>
              </w:rPr>
              <w:t>30</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1EAF5D0E"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14A3CDB1" w14:textId="77777777">
            <w:pPr>
              <w:spacing w:line="230" w:lineRule="auto"/>
              <w:jc w:val="center"/>
            </w:pPr>
            <w:r>
              <w:rPr>
                <w:color w:val="000000"/>
                <w:sz w:val="19"/>
                <w:szCs w:val="19"/>
              </w:rPr>
              <w:t>29.623,05</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773AC51B" w14:textId="77777777">
            <w:pPr>
              <w:spacing w:line="230" w:lineRule="auto"/>
              <w:jc w:val="center"/>
            </w:pPr>
            <w:r>
              <w:rPr>
                <w:color w:val="000000"/>
                <w:sz w:val="19"/>
                <w:szCs w:val="19"/>
              </w:rPr>
              <w:t>29.623,64</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4657AEF4" w14:textId="77777777">
            <w:pPr>
              <w:spacing w:line="230" w:lineRule="auto"/>
              <w:jc w:val="center"/>
            </w:pPr>
            <w:r>
              <w:rPr>
                <w:color w:val="000000"/>
                <w:sz w:val="19"/>
                <w:szCs w:val="19"/>
              </w:rPr>
              <w:t>29.623,67</w:t>
            </w:r>
          </w:p>
        </w:tc>
        <w:tc>
          <w:tcPr>
            <w:tcW w:w="10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423D4B9D" w14:textId="77777777">
            <w:pPr>
              <w:spacing w:line="230" w:lineRule="auto"/>
              <w:jc w:val="center"/>
            </w:pPr>
            <w:r>
              <w:rPr>
                <w:color w:val="000000"/>
                <w:sz w:val="19"/>
                <w:szCs w:val="19"/>
              </w:rPr>
              <w:t>15</w:t>
            </w:r>
          </w:p>
        </w:tc>
      </w:tr>
      <w:tr w:rsidR="00F77570" w14:paraId="55A31F03"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8B49204"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6B20A0C" w14:textId="77777777">
            <w:pPr>
              <w:spacing w:line="230" w:lineRule="auto"/>
              <w:jc w:val="center"/>
            </w:pPr>
            <w:r>
              <w:rPr>
                <w:color w:val="000000"/>
                <w:sz w:val="19"/>
                <w:szCs w:val="19"/>
              </w:rPr>
              <w:t>1</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2860A0C" w14:textId="77777777">
            <w:pPr>
              <w:spacing w:line="230" w:lineRule="auto"/>
              <w:jc w:val="center"/>
            </w:pPr>
            <w:r>
              <w:rPr>
                <w:color w:val="000000"/>
                <w:sz w:val="19"/>
                <w:szCs w:val="19"/>
              </w:rPr>
              <w:t>1.3</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6E6E50E" w14:textId="77777777">
            <w:pPr>
              <w:spacing w:line="230" w:lineRule="auto"/>
              <w:jc w:val="center"/>
            </w:pPr>
            <w:r>
              <w:rPr>
                <w:color w:val="000000"/>
                <w:sz w:val="19"/>
                <w:szCs w:val="19"/>
              </w:rPr>
              <w:t>556,15</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761D979" w14:textId="77777777">
            <w:pPr>
              <w:spacing w:line="230" w:lineRule="auto"/>
              <w:jc w:val="center"/>
            </w:pPr>
            <w:r>
              <w:rPr>
                <w:color w:val="000000"/>
                <w:sz w:val="19"/>
                <w:szCs w:val="19"/>
              </w:rPr>
              <w:t>1.665,42</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708F040" w14:textId="77777777">
            <w:pPr>
              <w:spacing w:line="230" w:lineRule="auto"/>
              <w:jc w:val="center"/>
            </w:pPr>
            <w:r>
              <w:rPr>
                <w:color w:val="000000"/>
                <w:sz w:val="19"/>
                <w:szCs w:val="19"/>
              </w:rPr>
              <w:t>2.671,41</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531F93F" w14:textId="77777777">
            <w:pPr>
              <w:spacing w:line="230" w:lineRule="auto"/>
              <w:jc w:val="center"/>
            </w:pPr>
            <w:r>
              <w:rPr>
                <w:color w:val="000000"/>
                <w:sz w:val="19"/>
                <w:szCs w:val="19"/>
              </w:rPr>
              <w:t>0</w:t>
            </w:r>
          </w:p>
        </w:tc>
      </w:tr>
      <w:tr w:rsidR="00F77570" w14:paraId="1AE44D90"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4C0AFA1C"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76DB90EB" w14:textId="77777777">
            <w:pPr>
              <w:spacing w:line="230" w:lineRule="auto"/>
              <w:jc w:val="center"/>
            </w:pPr>
            <w:r>
              <w:rPr>
                <w:color w:val="000000"/>
                <w:sz w:val="19"/>
                <w:szCs w:val="19"/>
              </w:rPr>
              <w:t>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1BA39565" w14:textId="77777777">
            <w:pPr>
              <w:spacing w:line="230" w:lineRule="auto"/>
              <w:jc w:val="center"/>
            </w:pPr>
            <w:r>
              <w:rPr>
                <w:color w:val="000000"/>
                <w:sz w:val="19"/>
                <w:szCs w:val="19"/>
              </w:rPr>
              <w:t>4.4</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30906766" w14:textId="77777777">
            <w:pPr>
              <w:spacing w:line="230" w:lineRule="auto"/>
              <w:jc w:val="center"/>
            </w:pPr>
            <w:r>
              <w:rPr>
                <w:color w:val="000000"/>
                <w:sz w:val="19"/>
                <w:szCs w:val="19"/>
              </w:rPr>
              <w:t>862,49</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AACD51F" w14:textId="77777777">
            <w:pPr>
              <w:spacing w:line="230" w:lineRule="auto"/>
              <w:jc w:val="center"/>
            </w:pPr>
            <w:r>
              <w:rPr>
                <w:color w:val="000000"/>
                <w:sz w:val="19"/>
                <w:szCs w:val="19"/>
              </w:rPr>
              <w:t>3.633,62</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298A834C" w14:textId="77777777">
            <w:pPr>
              <w:spacing w:line="230" w:lineRule="auto"/>
              <w:jc w:val="center"/>
            </w:pPr>
            <w:r>
              <w:rPr>
                <w:color w:val="000000"/>
                <w:sz w:val="19"/>
                <w:szCs w:val="19"/>
              </w:rPr>
              <w:t>3.930,18</w:t>
            </w:r>
          </w:p>
        </w:tc>
        <w:tc>
          <w:tcPr>
            <w:tcW w:w="10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0213FF8E" w14:textId="77777777">
            <w:pPr>
              <w:spacing w:line="230" w:lineRule="auto"/>
              <w:jc w:val="center"/>
            </w:pPr>
            <w:r>
              <w:rPr>
                <w:color w:val="000000"/>
                <w:sz w:val="19"/>
                <w:szCs w:val="19"/>
              </w:rPr>
              <w:t>0</w:t>
            </w:r>
          </w:p>
        </w:tc>
      </w:tr>
      <w:tr w:rsidR="00F77570" w14:paraId="6575B90D"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5F0A0AD"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46DE71A" w14:textId="77777777">
            <w:pPr>
              <w:spacing w:line="230" w:lineRule="auto"/>
              <w:jc w:val="center"/>
            </w:pPr>
            <w:r>
              <w:rPr>
                <w:color w:val="000000"/>
                <w:sz w:val="19"/>
                <w:szCs w:val="19"/>
              </w:rPr>
              <w:t>10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58371F6" w14:textId="77777777">
            <w:pPr>
              <w:spacing w:line="230" w:lineRule="auto"/>
              <w:jc w:val="center"/>
            </w:pPr>
            <w:r>
              <w:rPr>
                <w:color w:val="000000"/>
                <w:sz w:val="19"/>
                <w:szCs w:val="19"/>
              </w:rPr>
              <w:t>1.9</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D603904" w14:textId="77777777">
            <w:pPr>
              <w:spacing w:line="230" w:lineRule="auto"/>
              <w:jc w:val="center"/>
            </w:pPr>
            <w:r>
              <w:rPr>
                <w:color w:val="000000"/>
                <w:sz w:val="19"/>
                <w:szCs w:val="19"/>
              </w:rPr>
              <w:t>8.607,75</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A1ABC9A" w14:textId="77777777">
            <w:pPr>
              <w:spacing w:line="230" w:lineRule="auto"/>
              <w:jc w:val="center"/>
            </w:pPr>
            <w:r>
              <w:rPr>
                <w:color w:val="000000"/>
                <w:sz w:val="19"/>
                <w:szCs w:val="19"/>
              </w:rPr>
              <w:t>10.179,84</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ADCE4DF" w14:textId="77777777">
            <w:pPr>
              <w:spacing w:line="230" w:lineRule="auto"/>
              <w:jc w:val="center"/>
            </w:pPr>
            <w:r>
              <w:rPr>
                <w:color w:val="000000"/>
                <w:sz w:val="19"/>
                <w:szCs w:val="19"/>
              </w:rPr>
              <w:t>10.304,39</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70D6AA5" w14:textId="77777777">
            <w:pPr>
              <w:spacing w:line="230" w:lineRule="auto"/>
              <w:jc w:val="center"/>
            </w:pPr>
            <w:r>
              <w:rPr>
                <w:color w:val="000000"/>
                <w:sz w:val="19"/>
                <w:szCs w:val="19"/>
              </w:rPr>
              <w:t>0</w:t>
            </w:r>
          </w:p>
        </w:tc>
      </w:tr>
      <w:tr w:rsidR="00F77570" w14:paraId="72E22037"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87954D6"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4C2A823A"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0AEE922B"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74607F9C" w14:textId="77777777">
            <w:pPr>
              <w:spacing w:line="230" w:lineRule="auto"/>
              <w:jc w:val="center"/>
            </w:pPr>
            <w:r>
              <w:rPr>
                <w:color w:val="000000"/>
                <w:sz w:val="19"/>
                <w:szCs w:val="19"/>
              </w:rPr>
              <w:t>14.021,53</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407BE1A1" w14:textId="77777777">
            <w:pPr>
              <w:spacing w:line="230" w:lineRule="auto"/>
              <w:jc w:val="center"/>
            </w:pPr>
            <w:r>
              <w:rPr>
                <w:color w:val="000000"/>
                <w:sz w:val="19"/>
                <w:szCs w:val="19"/>
              </w:rPr>
              <w:t>14.032,33</w:t>
            </w:r>
          </w:p>
        </w:tc>
        <w:tc>
          <w:tcPr>
            <w:tcW w:w="1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7438489F" w14:textId="77777777">
            <w:pPr>
              <w:spacing w:line="230" w:lineRule="auto"/>
              <w:jc w:val="center"/>
            </w:pPr>
            <w:r>
              <w:rPr>
                <w:color w:val="000000"/>
                <w:sz w:val="19"/>
                <w:szCs w:val="19"/>
              </w:rPr>
              <w:t>14.051,89</w:t>
            </w:r>
          </w:p>
        </w:tc>
        <w:tc>
          <w:tcPr>
            <w:tcW w:w="10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05F7728E" w14:textId="77777777">
            <w:pPr>
              <w:spacing w:line="230" w:lineRule="auto"/>
              <w:jc w:val="center"/>
            </w:pPr>
            <w:r>
              <w:rPr>
                <w:color w:val="000000"/>
                <w:sz w:val="19"/>
                <w:szCs w:val="19"/>
              </w:rPr>
              <w:t>0</w:t>
            </w:r>
          </w:p>
        </w:tc>
      </w:tr>
      <w:tr w:rsidR="00F77570" w14:paraId="05DB6174"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3B4FC93E"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72A4FFC0" w14:textId="77777777">
            <w:pPr>
              <w:spacing w:line="230" w:lineRule="auto"/>
              <w:jc w:val="center"/>
            </w:pPr>
            <w:r>
              <w:rPr>
                <w:color w:val="000000"/>
                <w:sz w:val="19"/>
                <w:szCs w:val="19"/>
              </w:rPr>
              <w:t>20</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2AB1E001"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227CA057" w14:textId="77777777">
            <w:pPr>
              <w:spacing w:line="230" w:lineRule="auto"/>
              <w:jc w:val="center"/>
            </w:pPr>
            <w:r>
              <w:rPr>
                <w:color w:val="000000"/>
                <w:sz w:val="19"/>
                <w:szCs w:val="19"/>
              </w:rPr>
              <w:t>19.196,41</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3E9457F7" w14:textId="77777777">
            <w:pPr>
              <w:spacing w:line="230" w:lineRule="auto"/>
              <w:jc w:val="center"/>
            </w:pPr>
            <w:r>
              <w:rPr>
                <w:color w:val="000000"/>
                <w:sz w:val="19"/>
                <w:szCs w:val="19"/>
              </w:rPr>
              <w:t>19.196,44</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0F1659FC" w14:textId="77777777">
            <w:pPr>
              <w:spacing w:line="230" w:lineRule="auto"/>
              <w:jc w:val="center"/>
            </w:pPr>
            <w:r>
              <w:rPr>
                <w:color w:val="000000"/>
                <w:sz w:val="19"/>
                <w:szCs w:val="19"/>
              </w:rPr>
              <w:t>19.196,45</w:t>
            </w:r>
          </w:p>
        </w:tc>
        <w:tc>
          <w:tcPr>
            <w:tcW w:w="10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729DE7E4" w14:textId="77777777">
            <w:pPr>
              <w:spacing w:line="230" w:lineRule="auto"/>
              <w:jc w:val="center"/>
            </w:pPr>
            <w:r>
              <w:rPr>
                <w:color w:val="000000"/>
                <w:sz w:val="19"/>
                <w:szCs w:val="19"/>
              </w:rPr>
              <w:t>5</w:t>
            </w:r>
          </w:p>
        </w:tc>
      </w:tr>
      <w:tr w:rsidR="00F77570" w14:paraId="5B037A7E"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29A18400"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60DA3216" w14:textId="77777777">
            <w:pPr>
              <w:spacing w:line="230" w:lineRule="auto"/>
              <w:jc w:val="center"/>
            </w:pPr>
            <w:r>
              <w:rPr>
                <w:color w:val="000000"/>
                <w:sz w:val="19"/>
                <w:szCs w:val="19"/>
              </w:rPr>
              <w:t>30</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3AF82001"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2B065910" w14:textId="77777777">
            <w:pPr>
              <w:spacing w:line="230" w:lineRule="auto"/>
              <w:jc w:val="center"/>
            </w:pPr>
            <w:r>
              <w:rPr>
                <w:color w:val="000000"/>
                <w:sz w:val="19"/>
                <w:szCs w:val="19"/>
              </w:rPr>
              <w:t>29.641,33</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60036993" w14:textId="77777777">
            <w:pPr>
              <w:spacing w:line="230" w:lineRule="auto"/>
              <w:jc w:val="center"/>
            </w:pPr>
            <w:r>
              <w:rPr>
                <w:color w:val="000000"/>
                <w:sz w:val="19"/>
                <w:szCs w:val="19"/>
              </w:rPr>
              <w:t>29.641,89</w:t>
            </w:r>
          </w:p>
        </w:tc>
        <w:tc>
          <w:tcPr>
            <w:tcW w:w="13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399D621D" w14:textId="77777777">
            <w:pPr>
              <w:spacing w:line="230" w:lineRule="auto"/>
              <w:jc w:val="center"/>
            </w:pPr>
            <w:r>
              <w:rPr>
                <w:color w:val="000000"/>
                <w:sz w:val="19"/>
                <w:szCs w:val="19"/>
              </w:rPr>
              <w:t>29.641,92</w:t>
            </w:r>
          </w:p>
        </w:tc>
        <w:tc>
          <w:tcPr>
            <w:tcW w:w="10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vAlign w:val="center"/>
          </w:tcPr>
          <w:p w:rsidR="00F77570" w:rsidRDefault="00BA0A69" w14:paraId="41150DF2" w14:textId="77777777">
            <w:pPr>
              <w:spacing w:line="230" w:lineRule="auto"/>
              <w:jc w:val="center"/>
            </w:pPr>
            <w:r>
              <w:rPr>
                <w:color w:val="000000"/>
                <w:sz w:val="19"/>
                <w:szCs w:val="19"/>
              </w:rPr>
              <w:t>15</w:t>
            </w:r>
          </w:p>
        </w:tc>
      </w:tr>
    </w:tbl>
    <w:p w:rsidR="00F77570" w:rsidRDefault="00F77570" w14:paraId="44E871BC" w14:textId="77777777">
      <w:pPr>
        <w:spacing w:line="480" w:lineRule="auto"/>
      </w:pPr>
    </w:p>
    <w:p w:rsidR="00F77570" w:rsidRDefault="00BA0A69" w14:paraId="2D175059" w14:textId="77777777">
      <w:pPr>
        <w:spacing w:line="480" w:lineRule="auto"/>
      </w:pPr>
      <w:r>
        <w:rPr>
          <w:i/>
          <w:iCs/>
        </w:rPr>
        <w:t xml:space="preserve">Nota. </w:t>
      </w:r>
      <w:r>
        <w:t>Datos extraídos de load_test_concurrencia_20260621_011737.csv. Las filas en rojo muestran aparición de errores de conexión.</w:t>
      </w:r>
    </w:p>
    <w:p w:rsidR="00F77570" w:rsidRDefault="00F77570" w14:paraId="144A5D23" w14:textId="77777777">
      <w:pPr>
        <w:spacing w:line="480" w:lineRule="auto"/>
      </w:pPr>
    </w:p>
    <w:p w:rsidR="00F2003D" w:rsidRDefault="00F2003D" w14:paraId="18A946D5" w14:textId="77777777">
      <w:pPr>
        <w:spacing w:line="480" w:lineRule="auto"/>
        <w:jc w:val="center"/>
        <w:rPr>
          <w:b/>
          <w:bCs/>
        </w:rPr>
      </w:pPr>
    </w:p>
    <w:p w:rsidR="00F2003D" w:rsidRDefault="00F2003D" w14:paraId="41738E18" w14:textId="77777777">
      <w:pPr>
        <w:spacing w:line="480" w:lineRule="auto"/>
        <w:jc w:val="center"/>
        <w:rPr>
          <w:b/>
          <w:bCs/>
        </w:rPr>
      </w:pPr>
    </w:p>
    <w:p w:rsidR="00F2003D" w:rsidRDefault="00F2003D" w14:paraId="07084295" w14:textId="77777777">
      <w:pPr>
        <w:spacing w:line="480" w:lineRule="auto"/>
        <w:jc w:val="center"/>
        <w:rPr>
          <w:b/>
          <w:bCs/>
        </w:rPr>
      </w:pPr>
    </w:p>
    <w:p w:rsidR="00F77570" w:rsidRDefault="00BA0A69" w14:paraId="6D8A04DD" w14:textId="091F0B7C">
      <w:pPr>
        <w:spacing w:line="480" w:lineRule="auto"/>
        <w:jc w:val="center"/>
      </w:pPr>
      <w:r>
        <w:rPr>
          <w:b/>
          <w:bCs/>
        </w:rPr>
        <w:t>Tabla 3</w:t>
      </w:r>
    </w:p>
    <w:p w:rsidR="00F77570" w:rsidRDefault="00BA0A69" w14:paraId="118C67E1" w14:textId="77777777">
      <w:pPr>
        <w:spacing w:line="480" w:lineRule="auto"/>
        <w:jc w:val="center"/>
      </w:pPr>
      <w:r>
        <w:rPr>
          <w:i/>
          <w:iCs/>
        </w:rPr>
        <w:t>MongoDB (Atlas M0) — Throughput y Latencia por Nivel de Concurrencia</w:t>
      </w:r>
    </w:p>
    <w:p w:rsidR="00F77570" w:rsidRDefault="00F77570" w14:paraId="738610EB"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87"/>
        <w:gridCol w:w="1422"/>
        <w:gridCol w:w="1402"/>
        <w:gridCol w:w="1402"/>
        <w:gridCol w:w="1402"/>
        <w:gridCol w:w="1402"/>
        <w:gridCol w:w="1143"/>
      </w:tblGrid>
      <w:tr w:rsidR="00F77570" w14:paraId="602A6E6F"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A008FDD" w14:textId="77777777">
            <w:pPr>
              <w:spacing w:line="230" w:lineRule="auto"/>
              <w:jc w:val="center"/>
            </w:pPr>
            <w:r>
              <w:rPr>
                <w:b/>
                <w:bCs/>
                <w:color w:val="FFFFFF"/>
                <w:sz w:val="19"/>
                <w:szCs w:val="19"/>
              </w:rPr>
              <w:t>Tipo</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324F8DC4" w14:textId="77777777">
            <w:pPr>
              <w:spacing w:line="230" w:lineRule="auto"/>
              <w:jc w:val="center"/>
            </w:pPr>
            <w:r>
              <w:rPr>
                <w:b/>
                <w:bCs/>
                <w:color w:val="FFFFFF"/>
                <w:sz w:val="19"/>
                <w:szCs w:val="19"/>
              </w:rPr>
              <w:t>Concurrencia</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6D9D71A" w14:textId="77777777">
            <w:pPr>
              <w:spacing w:line="230" w:lineRule="auto"/>
              <w:jc w:val="center"/>
            </w:pPr>
            <w:r>
              <w:rPr>
                <w:b/>
                <w:bCs/>
                <w:color w:val="FFFFFF"/>
                <w:sz w:val="19"/>
                <w:szCs w:val="19"/>
              </w:rPr>
              <w:t>Throughput (ops/s)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A247365" w14:textId="77777777">
            <w:pPr>
              <w:spacing w:line="230" w:lineRule="auto"/>
              <w:jc w:val="center"/>
            </w:pPr>
            <w:r>
              <w:rPr>
                <w:b/>
                <w:bCs/>
                <w:color w:val="FFFFFF"/>
                <w:sz w:val="19"/>
                <w:szCs w:val="19"/>
              </w:rPr>
              <w:t>p50 (ms)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5BB631B9" w14:textId="77777777">
            <w:pPr>
              <w:spacing w:line="230" w:lineRule="auto"/>
              <w:jc w:val="center"/>
            </w:pPr>
            <w:r>
              <w:rPr>
                <w:b/>
                <w:bCs/>
                <w:color w:val="FFFFFF"/>
                <w:sz w:val="19"/>
                <w:szCs w:val="19"/>
              </w:rPr>
              <w:t>p95 (ms)</w:t>
            </w:r>
          </w:p>
        </w:tc>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5283F917" w14:textId="77777777">
            <w:pPr>
              <w:spacing w:line="230" w:lineRule="auto"/>
              <w:jc w:val="center"/>
            </w:pPr>
            <w:r>
              <w:rPr>
                <w:b/>
                <w:bCs/>
                <w:color w:val="FFFFFF"/>
                <w:sz w:val="19"/>
                <w:szCs w:val="19"/>
              </w:rPr>
              <w:t>p99 (ms)</w:t>
            </w:r>
          </w:p>
        </w:tc>
        <w:tc>
          <w:tcPr>
            <w:tcW w:w="10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E4F6D38" w14:textId="77777777">
            <w:pPr>
              <w:spacing w:line="230" w:lineRule="auto"/>
              <w:jc w:val="center"/>
            </w:pPr>
            <w:r>
              <w:rPr>
                <w:b/>
                <w:bCs/>
                <w:color w:val="FFFFFF"/>
                <w:sz w:val="19"/>
                <w:szCs w:val="19"/>
              </w:rPr>
              <w:t>Errores</w:t>
            </w:r>
          </w:p>
        </w:tc>
      </w:tr>
      <w:tr w:rsidR="00F77570" w14:paraId="511983F9"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7D42ECA"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49FAAB8" w14:textId="77777777">
            <w:pPr>
              <w:spacing w:line="230" w:lineRule="auto"/>
              <w:jc w:val="center"/>
            </w:pPr>
            <w:r>
              <w:rPr>
                <w:color w:val="000000"/>
                <w:sz w:val="19"/>
                <w:szCs w:val="19"/>
              </w:rPr>
              <w:t>1</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997E62C" w14:textId="77777777">
            <w:pPr>
              <w:spacing w:line="230" w:lineRule="auto"/>
              <w:jc w:val="center"/>
            </w:pPr>
            <w:r>
              <w:rPr>
                <w:color w:val="000000"/>
                <w:sz w:val="19"/>
                <w:szCs w:val="19"/>
              </w:rPr>
              <w:t>5.8</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ADC0683" w14:textId="77777777">
            <w:pPr>
              <w:spacing w:line="230" w:lineRule="auto"/>
              <w:jc w:val="center"/>
            </w:pPr>
            <w:r>
              <w:rPr>
                <w:color w:val="000000"/>
                <w:sz w:val="19"/>
                <w:szCs w:val="19"/>
              </w:rPr>
              <w:t>171,60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9EF56EE" w14:textId="77777777">
            <w:pPr>
              <w:spacing w:line="230" w:lineRule="auto"/>
              <w:jc w:val="center"/>
            </w:pPr>
            <w:r>
              <w:rPr>
                <w:color w:val="000000"/>
                <w:sz w:val="19"/>
                <w:szCs w:val="19"/>
              </w:rPr>
              <w:t>172,30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B33CFB8" w14:textId="77777777">
            <w:pPr>
              <w:spacing w:line="230" w:lineRule="auto"/>
              <w:jc w:val="center"/>
            </w:pPr>
            <w:r>
              <w:rPr>
                <w:color w:val="000000"/>
                <w:sz w:val="19"/>
                <w:szCs w:val="19"/>
              </w:rPr>
              <w:t>262,84</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D22F59A" w14:textId="77777777">
            <w:pPr>
              <w:spacing w:line="230" w:lineRule="auto"/>
              <w:jc w:val="center"/>
            </w:pPr>
            <w:r>
              <w:rPr>
                <w:color w:val="000000"/>
                <w:sz w:val="19"/>
                <w:szCs w:val="19"/>
              </w:rPr>
              <w:t>0</w:t>
            </w:r>
          </w:p>
        </w:tc>
      </w:tr>
      <w:tr w:rsidR="00F77570" w14:paraId="05243A51"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2B09D53"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D0ADF7A" w14:textId="77777777">
            <w:pPr>
              <w:spacing w:line="230" w:lineRule="auto"/>
              <w:jc w:val="center"/>
            </w:pPr>
            <w:r>
              <w:rPr>
                <w:color w:val="000000"/>
                <w:sz w:val="19"/>
                <w:szCs w:val="19"/>
              </w:rPr>
              <w:t>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7AB97420" w14:textId="77777777">
            <w:pPr>
              <w:spacing w:line="230" w:lineRule="auto"/>
              <w:jc w:val="center"/>
            </w:pPr>
            <w:r>
              <w:rPr>
                <w:color w:val="000000"/>
                <w:sz w:val="19"/>
                <w:szCs w:val="19"/>
              </w:rPr>
              <w:t>26.1</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5C761E2E" w14:textId="77777777">
            <w:pPr>
              <w:spacing w:line="230" w:lineRule="auto"/>
              <w:jc w:val="center"/>
            </w:pPr>
            <w:r>
              <w:rPr>
                <w:color w:val="000000"/>
                <w:sz w:val="19"/>
                <w:szCs w:val="19"/>
              </w:rPr>
              <w:t>172,11</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66B28CB0" w14:textId="77777777">
            <w:pPr>
              <w:spacing w:line="230" w:lineRule="auto"/>
              <w:jc w:val="center"/>
            </w:pPr>
            <w:r>
              <w:rPr>
                <w:color w:val="000000"/>
                <w:sz w:val="19"/>
                <w:szCs w:val="19"/>
              </w:rPr>
              <w:t>173,66</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CDFD9E9" w14:textId="77777777">
            <w:pPr>
              <w:spacing w:line="230" w:lineRule="auto"/>
              <w:jc w:val="center"/>
            </w:pPr>
            <w:r>
              <w:rPr>
                <w:color w:val="000000"/>
                <w:sz w:val="19"/>
                <w:szCs w:val="19"/>
              </w:rPr>
              <w:t>1.094,24</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56C62623" w14:textId="77777777">
            <w:pPr>
              <w:spacing w:line="230" w:lineRule="auto"/>
              <w:jc w:val="center"/>
            </w:pPr>
            <w:r>
              <w:rPr>
                <w:color w:val="000000"/>
                <w:sz w:val="19"/>
                <w:szCs w:val="19"/>
              </w:rPr>
              <w:t>0</w:t>
            </w:r>
          </w:p>
        </w:tc>
      </w:tr>
      <w:tr w:rsidR="00F77570" w14:paraId="7254637A"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A126423"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E1FE5D4" w14:textId="77777777">
            <w:pPr>
              <w:spacing w:line="230" w:lineRule="auto"/>
              <w:jc w:val="center"/>
            </w:pPr>
            <w:r>
              <w:rPr>
                <w:color w:val="000000"/>
                <w:sz w:val="19"/>
                <w:szCs w:val="19"/>
              </w:rPr>
              <w:t>10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9167889" w14:textId="77777777">
            <w:pPr>
              <w:spacing w:line="230" w:lineRule="auto"/>
              <w:jc w:val="center"/>
            </w:pPr>
            <w:r>
              <w:rPr>
                <w:color w:val="000000"/>
                <w:sz w:val="19"/>
                <w:szCs w:val="19"/>
              </w:rPr>
              <w:t>53.6</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1138663" w14:textId="77777777">
            <w:pPr>
              <w:spacing w:line="230" w:lineRule="auto"/>
              <w:jc w:val="center"/>
            </w:pPr>
            <w:r>
              <w:rPr>
                <w:color w:val="000000"/>
                <w:sz w:val="19"/>
                <w:szCs w:val="19"/>
              </w:rPr>
              <w:t>172,17</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C1B459B" w14:textId="77777777">
            <w:pPr>
              <w:spacing w:line="230" w:lineRule="auto"/>
              <w:jc w:val="center"/>
            </w:pPr>
            <w:r>
              <w:rPr>
                <w:color w:val="000000"/>
                <w:sz w:val="19"/>
                <w:szCs w:val="19"/>
              </w:rPr>
              <w:t>174,21</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71BFBCF" w14:textId="77777777">
            <w:pPr>
              <w:spacing w:line="230" w:lineRule="auto"/>
              <w:jc w:val="center"/>
            </w:pPr>
            <w:r>
              <w:rPr>
                <w:color w:val="000000"/>
                <w:sz w:val="19"/>
                <w:szCs w:val="19"/>
              </w:rPr>
              <w:t>195,37</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A06C686" w14:textId="77777777">
            <w:pPr>
              <w:spacing w:line="230" w:lineRule="auto"/>
              <w:jc w:val="center"/>
            </w:pPr>
            <w:r>
              <w:rPr>
                <w:color w:val="000000"/>
                <w:sz w:val="19"/>
                <w:szCs w:val="19"/>
              </w:rPr>
              <w:t>0</w:t>
            </w:r>
          </w:p>
        </w:tc>
      </w:tr>
      <w:tr w:rsidR="00F77570" w14:paraId="41C497C5"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D1D614C"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6BB2669"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275B2096" w14:textId="77777777">
            <w:pPr>
              <w:spacing w:line="230" w:lineRule="auto"/>
              <w:jc w:val="center"/>
            </w:pPr>
            <w:r>
              <w:rPr>
                <w:color w:val="000000"/>
                <w:sz w:val="19"/>
                <w:szCs w:val="19"/>
              </w:rPr>
              <w:t>82.5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2E04E0F7" w14:textId="77777777">
            <w:pPr>
              <w:spacing w:line="230" w:lineRule="auto"/>
              <w:jc w:val="center"/>
            </w:pPr>
            <w:r>
              <w:rPr>
                <w:color w:val="000000"/>
                <w:sz w:val="19"/>
                <w:szCs w:val="19"/>
              </w:rPr>
              <w:t>171,93</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F9CEA8B" w14:textId="77777777">
            <w:pPr>
              <w:spacing w:line="230" w:lineRule="auto"/>
              <w:jc w:val="center"/>
            </w:pPr>
            <w:r>
              <w:rPr>
                <w:color w:val="000000"/>
                <w:sz w:val="19"/>
                <w:szCs w:val="19"/>
              </w:rPr>
              <w:t>175,87</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2AF26608" w14:textId="77777777">
            <w:pPr>
              <w:spacing w:line="230" w:lineRule="auto"/>
              <w:jc w:val="center"/>
            </w:pPr>
            <w:r>
              <w:rPr>
                <w:color w:val="000000"/>
                <w:sz w:val="19"/>
                <w:szCs w:val="19"/>
              </w:rPr>
              <w:t>189,26</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574AF32" w14:textId="77777777">
            <w:pPr>
              <w:spacing w:line="230" w:lineRule="auto"/>
              <w:jc w:val="center"/>
            </w:pPr>
            <w:r>
              <w:rPr>
                <w:color w:val="000000"/>
                <w:sz w:val="19"/>
                <w:szCs w:val="19"/>
              </w:rPr>
              <w:t>0</w:t>
            </w:r>
          </w:p>
        </w:tc>
      </w:tr>
      <w:tr w:rsidR="00F77570" w14:paraId="01CDAABB"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3063ADA"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A6A9027" w14:textId="77777777">
            <w:pPr>
              <w:spacing w:line="230" w:lineRule="auto"/>
              <w:jc w:val="center"/>
            </w:pPr>
            <w:r>
              <w:rPr>
                <w:color w:val="000000"/>
                <w:sz w:val="19"/>
                <w:szCs w:val="19"/>
              </w:rPr>
              <w:t>20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BE18A4F" w14:textId="77777777">
            <w:pPr>
              <w:spacing w:line="230" w:lineRule="auto"/>
              <w:jc w:val="center"/>
            </w:pPr>
            <w:r>
              <w:rPr>
                <w:color w:val="000000"/>
                <w:sz w:val="19"/>
                <w:szCs w:val="19"/>
              </w:rPr>
              <w:t>105.8</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CD740B9" w14:textId="77777777">
            <w:pPr>
              <w:spacing w:line="230" w:lineRule="auto"/>
              <w:jc w:val="center"/>
            </w:pPr>
            <w:r>
              <w:rPr>
                <w:color w:val="000000"/>
                <w:sz w:val="19"/>
                <w:szCs w:val="19"/>
              </w:rPr>
              <w:t>172,13</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2259156" w14:textId="77777777">
            <w:pPr>
              <w:spacing w:line="230" w:lineRule="auto"/>
              <w:jc w:val="center"/>
            </w:pPr>
            <w:r>
              <w:rPr>
                <w:color w:val="000000"/>
                <w:sz w:val="19"/>
                <w:szCs w:val="19"/>
              </w:rPr>
              <w:t>285,60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0003A03" w14:textId="77777777">
            <w:pPr>
              <w:spacing w:line="230" w:lineRule="auto"/>
              <w:jc w:val="center"/>
            </w:pPr>
            <w:r>
              <w:rPr>
                <w:color w:val="000000"/>
                <w:sz w:val="19"/>
                <w:szCs w:val="19"/>
              </w:rPr>
              <w:t>311,69</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CF44D54" w14:textId="77777777">
            <w:pPr>
              <w:spacing w:line="230" w:lineRule="auto"/>
              <w:jc w:val="center"/>
            </w:pPr>
            <w:r>
              <w:rPr>
                <w:color w:val="000000"/>
                <w:sz w:val="19"/>
                <w:szCs w:val="19"/>
              </w:rPr>
              <w:t>0</w:t>
            </w:r>
          </w:p>
        </w:tc>
      </w:tr>
      <w:tr w:rsidR="00F77570" w14:paraId="0D74E7FC"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A27CF15" w14:textId="77777777">
            <w:pPr>
              <w:spacing w:line="230" w:lineRule="auto"/>
              <w:jc w:val="center"/>
            </w:pPr>
            <w:r>
              <w:rPr>
                <w:color w:val="000000"/>
                <w:sz w:val="19"/>
                <w:szCs w:val="19"/>
              </w:rPr>
              <w:t>punto</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8E8C380" w14:textId="77777777">
            <w:pPr>
              <w:spacing w:line="230" w:lineRule="auto"/>
              <w:jc w:val="center"/>
            </w:pPr>
            <w:r>
              <w:rPr>
                <w:color w:val="000000"/>
                <w:sz w:val="19"/>
                <w:szCs w:val="19"/>
              </w:rPr>
              <w:t>30</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57F14C09" w14:textId="77777777">
            <w:pPr>
              <w:spacing w:line="230" w:lineRule="auto"/>
              <w:jc w:val="center"/>
            </w:pPr>
            <w:r>
              <w:rPr>
                <w:color w:val="000000"/>
                <w:sz w:val="19"/>
                <w:szCs w:val="19"/>
              </w:rPr>
              <w:t>115.3</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5FBBF87" w14:textId="77777777">
            <w:pPr>
              <w:spacing w:line="230" w:lineRule="auto"/>
              <w:jc w:val="center"/>
            </w:pPr>
            <w:r>
              <w:rPr>
                <w:color w:val="000000"/>
                <w:sz w:val="19"/>
                <w:szCs w:val="19"/>
              </w:rPr>
              <w:t>172,84</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3176D78" w14:textId="77777777">
            <w:pPr>
              <w:spacing w:line="230" w:lineRule="auto"/>
              <w:jc w:val="center"/>
            </w:pPr>
            <w:r>
              <w:rPr>
                <w:color w:val="000000"/>
                <w:sz w:val="19"/>
                <w:szCs w:val="19"/>
              </w:rPr>
              <w:t>490,83</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884C444" w14:textId="77777777">
            <w:pPr>
              <w:spacing w:line="230" w:lineRule="auto"/>
              <w:jc w:val="center"/>
            </w:pPr>
            <w:r>
              <w:rPr>
                <w:color w:val="000000"/>
                <w:sz w:val="19"/>
                <w:szCs w:val="19"/>
              </w:rPr>
              <w:t>654,69</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65DCE8A" w14:textId="77777777">
            <w:pPr>
              <w:spacing w:line="230" w:lineRule="auto"/>
              <w:jc w:val="center"/>
            </w:pPr>
            <w:r>
              <w:rPr>
                <w:color w:val="000000"/>
                <w:sz w:val="19"/>
                <w:szCs w:val="19"/>
              </w:rPr>
              <w:t>0</w:t>
            </w:r>
          </w:p>
        </w:tc>
      </w:tr>
      <w:tr w:rsidR="00F77570" w14:paraId="361B318E"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F3C79AD"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9F14E3C" w14:textId="77777777">
            <w:pPr>
              <w:spacing w:line="230" w:lineRule="auto"/>
              <w:jc w:val="center"/>
            </w:pPr>
            <w:r>
              <w:rPr>
                <w:color w:val="000000"/>
                <w:sz w:val="19"/>
                <w:szCs w:val="19"/>
              </w:rPr>
              <w:t>1</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B439FDB" w14:textId="77777777">
            <w:pPr>
              <w:spacing w:line="230" w:lineRule="auto"/>
              <w:jc w:val="center"/>
            </w:pPr>
            <w:r>
              <w:rPr>
                <w:color w:val="000000"/>
                <w:sz w:val="19"/>
                <w:szCs w:val="19"/>
              </w:rPr>
              <w:t>4.6</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D10539F" w14:textId="77777777">
            <w:pPr>
              <w:spacing w:line="230" w:lineRule="auto"/>
              <w:jc w:val="center"/>
            </w:pPr>
            <w:r>
              <w:rPr>
                <w:color w:val="000000"/>
                <w:sz w:val="19"/>
                <w:szCs w:val="19"/>
              </w:rPr>
              <w:t>194,57</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8DCFB6D" w14:textId="77777777">
            <w:pPr>
              <w:spacing w:line="230" w:lineRule="auto"/>
              <w:jc w:val="center"/>
            </w:pPr>
            <w:r>
              <w:rPr>
                <w:color w:val="000000"/>
                <w:sz w:val="19"/>
                <w:szCs w:val="19"/>
              </w:rPr>
              <w:t>312,67</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8655F6F" w14:textId="77777777">
            <w:pPr>
              <w:spacing w:line="230" w:lineRule="auto"/>
              <w:jc w:val="center"/>
            </w:pPr>
            <w:r>
              <w:rPr>
                <w:color w:val="000000"/>
                <w:sz w:val="19"/>
                <w:szCs w:val="19"/>
              </w:rPr>
              <w:t>387,94</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BD0726E" w14:textId="77777777">
            <w:pPr>
              <w:spacing w:line="230" w:lineRule="auto"/>
              <w:jc w:val="center"/>
            </w:pPr>
            <w:r>
              <w:rPr>
                <w:color w:val="000000"/>
                <w:sz w:val="19"/>
                <w:szCs w:val="19"/>
              </w:rPr>
              <w:t>0</w:t>
            </w:r>
          </w:p>
        </w:tc>
      </w:tr>
      <w:tr w:rsidR="00F77570" w14:paraId="6E4EFA98"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C9E9D1C"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4648C29" w14:textId="77777777">
            <w:pPr>
              <w:spacing w:line="230" w:lineRule="auto"/>
              <w:jc w:val="center"/>
            </w:pPr>
            <w:r>
              <w:rPr>
                <w:color w:val="000000"/>
                <w:sz w:val="19"/>
                <w:szCs w:val="19"/>
              </w:rPr>
              <w:t>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0A3F996" w14:textId="77777777">
            <w:pPr>
              <w:spacing w:line="230" w:lineRule="auto"/>
              <w:jc w:val="center"/>
            </w:pPr>
            <w:r>
              <w:rPr>
                <w:color w:val="000000"/>
                <w:sz w:val="19"/>
                <w:szCs w:val="19"/>
              </w:rPr>
              <w:t>22.2</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58BC69AE" w14:textId="77777777">
            <w:pPr>
              <w:spacing w:line="230" w:lineRule="auto"/>
              <w:jc w:val="center"/>
            </w:pPr>
            <w:r>
              <w:rPr>
                <w:color w:val="000000"/>
                <w:sz w:val="19"/>
                <w:szCs w:val="19"/>
              </w:rPr>
              <w:t>198,60</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27EE4BC0" w14:textId="77777777">
            <w:pPr>
              <w:spacing w:line="230" w:lineRule="auto"/>
              <w:jc w:val="center"/>
            </w:pPr>
            <w:r>
              <w:rPr>
                <w:color w:val="000000"/>
                <w:sz w:val="19"/>
                <w:szCs w:val="19"/>
              </w:rPr>
              <w:t>351,01</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64F64052" w14:textId="77777777">
            <w:pPr>
              <w:spacing w:line="230" w:lineRule="auto"/>
              <w:jc w:val="center"/>
            </w:pPr>
            <w:r>
              <w:rPr>
                <w:color w:val="000000"/>
                <w:sz w:val="19"/>
                <w:szCs w:val="19"/>
              </w:rPr>
              <w:t>485,63</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7F30171" w14:textId="77777777">
            <w:pPr>
              <w:spacing w:line="230" w:lineRule="auto"/>
              <w:jc w:val="center"/>
            </w:pPr>
            <w:r>
              <w:rPr>
                <w:color w:val="000000"/>
                <w:sz w:val="19"/>
                <w:szCs w:val="19"/>
              </w:rPr>
              <w:t>0</w:t>
            </w:r>
          </w:p>
        </w:tc>
      </w:tr>
      <w:tr w:rsidR="00F77570" w14:paraId="115BEAA9"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6DA46BD"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1830EAB" w14:textId="77777777">
            <w:pPr>
              <w:spacing w:line="230" w:lineRule="auto"/>
              <w:jc w:val="center"/>
            </w:pPr>
            <w:r>
              <w:rPr>
                <w:color w:val="000000"/>
                <w:sz w:val="19"/>
                <w:szCs w:val="19"/>
              </w:rPr>
              <w:t>10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CE9BFC2" w14:textId="77777777">
            <w:pPr>
              <w:spacing w:line="230" w:lineRule="auto"/>
              <w:jc w:val="center"/>
            </w:pPr>
            <w:r>
              <w:rPr>
                <w:color w:val="000000"/>
                <w:sz w:val="19"/>
                <w:szCs w:val="19"/>
              </w:rPr>
              <w:t>39.0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4CAEBB7" w14:textId="77777777">
            <w:pPr>
              <w:spacing w:line="230" w:lineRule="auto"/>
              <w:jc w:val="center"/>
            </w:pPr>
            <w:r>
              <w:rPr>
                <w:color w:val="000000"/>
                <w:sz w:val="19"/>
                <w:szCs w:val="19"/>
              </w:rPr>
              <w:t>225,04</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E07D424" w14:textId="77777777">
            <w:pPr>
              <w:spacing w:line="230" w:lineRule="auto"/>
              <w:jc w:val="center"/>
            </w:pPr>
            <w:r>
              <w:rPr>
                <w:color w:val="000000"/>
                <w:sz w:val="19"/>
                <w:szCs w:val="19"/>
              </w:rPr>
              <w:t>479,16</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FD8B71A" w14:textId="77777777">
            <w:pPr>
              <w:spacing w:line="230" w:lineRule="auto"/>
              <w:jc w:val="center"/>
            </w:pPr>
            <w:r>
              <w:rPr>
                <w:color w:val="000000"/>
                <w:sz w:val="19"/>
                <w:szCs w:val="19"/>
              </w:rPr>
              <w:t>610,28</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32FFD68" w14:textId="77777777">
            <w:pPr>
              <w:spacing w:line="230" w:lineRule="auto"/>
              <w:jc w:val="center"/>
            </w:pPr>
            <w:r>
              <w:rPr>
                <w:color w:val="000000"/>
                <w:sz w:val="19"/>
                <w:szCs w:val="19"/>
              </w:rPr>
              <w:t>0</w:t>
            </w:r>
          </w:p>
        </w:tc>
      </w:tr>
      <w:tr w:rsidR="00F77570" w14:paraId="559B6519"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540CEAE9"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62E3969C" w14:textId="77777777">
            <w:pPr>
              <w:spacing w:line="230" w:lineRule="auto"/>
              <w:jc w:val="center"/>
            </w:pPr>
            <w:r>
              <w:rPr>
                <w:color w:val="000000"/>
                <w:sz w:val="19"/>
                <w:szCs w:val="19"/>
              </w:rPr>
              <w:t>15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C69D641" w14:textId="77777777">
            <w:pPr>
              <w:spacing w:line="230" w:lineRule="auto"/>
              <w:jc w:val="center"/>
            </w:pPr>
            <w:r>
              <w:rPr>
                <w:color w:val="000000"/>
                <w:sz w:val="19"/>
                <w:szCs w:val="19"/>
              </w:rPr>
              <w:t>43.6</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766BA2C" w14:textId="77777777">
            <w:pPr>
              <w:spacing w:line="230" w:lineRule="auto"/>
              <w:jc w:val="center"/>
            </w:pPr>
            <w:r>
              <w:rPr>
                <w:color w:val="000000"/>
                <w:sz w:val="19"/>
                <w:szCs w:val="19"/>
              </w:rPr>
              <w:t>272,51</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D772A16" w14:textId="77777777">
            <w:pPr>
              <w:spacing w:line="230" w:lineRule="auto"/>
              <w:jc w:val="center"/>
            </w:pPr>
            <w:r>
              <w:rPr>
                <w:color w:val="000000"/>
                <w:sz w:val="19"/>
                <w:szCs w:val="19"/>
              </w:rPr>
              <w:t>844,75</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00DAD21D" w14:textId="77777777">
            <w:pPr>
              <w:spacing w:line="230" w:lineRule="auto"/>
              <w:jc w:val="center"/>
            </w:pPr>
            <w:r>
              <w:rPr>
                <w:color w:val="000000"/>
                <w:sz w:val="19"/>
                <w:szCs w:val="19"/>
              </w:rPr>
              <w:t>982,49</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6F6BB521" w14:textId="77777777">
            <w:pPr>
              <w:spacing w:line="230" w:lineRule="auto"/>
              <w:jc w:val="center"/>
            </w:pPr>
            <w:r>
              <w:rPr>
                <w:color w:val="000000"/>
                <w:sz w:val="19"/>
                <w:szCs w:val="19"/>
              </w:rPr>
              <w:t>0</w:t>
            </w:r>
          </w:p>
        </w:tc>
      </w:tr>
      <w:tr w:rsidR="00F77570" w14:paraId="7F50CAEE"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F79EAE5"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B5474F0" w14:textId="77777777">
            <w:pPr>
              <w:spacing w:line="230" w:lineRule="auto"/>
              <w:jc w:val="center"/>
            </w:pPr>
            <w:r>
              <w:rPr>
                <w:color w:val="000000"/>
                <w:sz w:val="19"/>
                <w:szCs w:val="19"/>
              </w:rPr>
              <w:t>20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9161D27" w14:textId="77777777">
            <w:pPr>
              <w:spacing w:line="230" w:lineRule="auto"/>
              <w:jc w:val="center"/>
            </w:pPr>
            <w:r>
              <w:rPr>
                <w:color w:val="000000"/>
                <w:sz w:val="19"/>
                <w:szCs w:val="19"/>
              </w:rPr>
              <w:t>37.0</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207BE7C" w14:textId="77777777">
            <w:pPr>
              <w:spacing w:line="230" w:lineRule="auto"/>
              <w:jc w:val="center"/>
            </w:pPr>
            <w:r>
              <w:rPr>
                <w:color w:val="000000"/>
                <w:sz w:val="19"/>
                <w:szCs w:val="19"/>
              </w:rPr>
              <w:t>400,05</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DF2773E" w14:textId="77777777">
            <w:pPr>
              <w:spacing w:line="230" w:lineRule="auto"/>
              <w:jc w:val="center"/>
            </w:pPr>
            <w:r>
              <w:rPr>
                <w:color w:val="000000"/>
                <w:sz w:val="19"/>
                <w:szCs w:val="19"/>
              </w:rPr>
              <w:t>1.592,95</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06CC69AE" w14:textId="77777777">
            <w:pPr>
              <w:spacing w:line="230" w:lineRule="auto"/>
              <w:jc w:val="center"/>
            </w:pPr>
            <w:r>
              <w:rPr>
                <w:color w:val="000000"/>
                <w:sz w:val="19"/>
                <w:szCs w:val="19"/>
              </w:rPr>
              <w:t>1.977,49</w:t>
            </w:r>
          </w:p>
        </w:tc>
        <w:tc>
          <w:tcPr>
            <w:tcW w:w="10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3AF8648" w14:textId="77777777">
            <w:pPr>
              <w:spacing w:line="230" w:lineRule="auto"/>
              <w:jc w:val="center"/>
            </w:pPr>
            <w:r>
              <w:rPr>
                <w:color w:val="000000"/>
                <w:sz w:val="19"/>
                <w:szCs w:val="19"/>
              </w:rPr>
              <w:t>0</w:t>
            </w:r>
          </w:p>
        </w:tc>
      </w:tr>
      <w:tr w:rsidR="00F77570" w14:paraId="5CC70BC6" w14:textId="77777777">
        <w:tblPrEx>
          <w:tblCellMar>
            <w:top w:w="0" w:type="dxa"/>
            <w:bottom w:w="0" w:type="dxa"/>
          </w:tblCellMar>
        </w:tblPrEx>
        <w:tc>
          <w:tcPr>
            <w:tcW w:w="11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40A7CF1" w14:textId="77777777">
            <w:pPr>
              <w:spacing w:line="230" w:lineRule="auto"/>
              <w:jc w:val="center"/>
            </w:pPr>
            <w:r>
              <w:rPr>
                <w:color w:val="000000"/>
                <w:sz w:val="19"/>
                <w:szCs w:val="19"/>
              </w:rPr>
              <w:t>compleja</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46B40F80" w14:textId="77777777">
            <w:pPr>
              <w:spacing w:line="230" w:lineRule="auto"/>
              <w:jc w:val="center"/>
            </w:pPr>
            <w:r>
              <w:rPr>
                <w:color w:val="000000"/>
                <w:sz w:val="19"/>
                <w:szCs w:val="19"/>
              </w:rPr>
              <w:t>30</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A331C4D" w14:textId="77777777">
            <w:pPr>
              <w:spacing w:line="230" w:lineRule="auto"/>
              <w:jc w:val="center"/>
            </w:pPr>
            <w:r>
              <w:rPr>
                <w:color w:val="000000"/>
                <w:sz w:val="19"/>
                <w:szCs w:val="19"/>
              </w:rPr>
              <w:t>38.3</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6160CEF5" w14:textId="77777777">
            <w:pPr>
              <w:spacing w:line="230" w:lineRule="auto"/>
              <w:jc w:val="center"/>
            </w:pPr>
            <w:r>
              <w:rPr>
                <w:color w:val="000000"/>
                <w:sz w:val="19"/>
                <w:szCs w:val="19"/>
              </w:rPr>
              <w:t>577,51</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17C1628A" w14:textId="77777777">
            <w:pPr>
              <w:spacing w:line="230" w:lineRule="auto"/>
              <w:jc w:val="center"/>
            </w:pPr>
            <w:r>
              <w:rPr>
                <w:color w:val="000000"/>
                <w:sz w:val="19"/>
                <w:szCs w:val="19"/>
              </w:rPr>
              <w:t>2.214,09</w:t>
            </w:r>
          </w:p>
        </w:tc>
        <w:tc>
          <w:tcPr>
            <w:tcW w:w="13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0667F94B" w14:textId="77777777">
            <w:pPr>
              <w:spacing w:line="230" w:lineRule="auto"/>
              <w:jc w:val="center"/>
            </w:pPr>
            <w:r>
              <w:rPr>
                <w:color w:val="000000"/>
                <w:sz w:val="19"/>
                <w:szCs w:val="19"/>
              </w:rPr>
              <w:t>2.422,83</w:t>
            </w:r>
          </w:p>
        </w:tc>
        <w:tc>
          <w:tcPr>
            <w:tcW w:w="10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vAlign w:val="center"/>
          </w:tcPr>
          <w:p w:rsidR="00F77570" w:rsidRDefault="00BA0A69" w14:paraId="3A6AE620" w14:textId="77777777">
            <w:pPr>
              <w:spacing w:line="230" w:lineRule="auto"/>
              <w:jc w:val="center"/>
            </w:pPr>
            <w:r>
              <w:rPr>
                <w:color w:val="000000"/>
                <w:sz w:val="19"/>
                <w:szCs w:val="19"/>
              </w:rPr>
              <w:t>0</w:t>
            </w:r>
          </w:p>
        </w:tc>
      </w:tr>
    </w:tbl>
    <w:p w:rsidR="00F77570" w:rsidRDefault="00F77570" w14:paraId="637805D2" w14:textId="77777777">
      <w:pPr>
        <w:spacing w:line="480" w:lineRule="auto"/>
      </w:pPr>
    </w:p>
    <w:p w:rsidR="00F77570" w:rsidRDefault="00BA0A69" w14:paraId="0D45D2FE" w14:textId="77777777">
      <w:pPr>
        <w:spacing w:line="480" w:lineRule="auto"/>
      </w:pPr>
      <w:r>
        <w:rPr>
          <w:i/>
          <w:iCs/>
        </w:rPr>
        <w:t xml:space="preserve">Nota. </w:t>
      </w:r>
      <w:r>
        <w:t>Datos extraídos de load_test_concurrencia_20260621_011737.csv. Cero errores en todo el rango de concurrencia probado para MongoDB.</w:t>
      </w:r>
    </w:p>
    <w:p w:rsidR="00F77570" w:rsidRDefault="00F77570" w14:paraId="463F29E8" w14:textId="77777777">
      <w:pPr>
        <w:spacing w:line="480" w:lineRule="auto"/>
      </w:pPr>
    </w:p>
    <w:p w:rsidR="00F77570" w:rsidRDefault="00F77570" w14:paraId="3B7B4B86" w14:textId="77777777">
      <w:pPr>
        <w:spacing w:line="480" w:lineRule="auto"/>
      </w:pPr>
    </w:p>
    <w:p w:rsidR="00F77570" w:rsidRDefault="00BA0A69" w14:paraId="6F3A82EA" w14:textId="77777777">
      <w:pPr>
        <w:keepNext/>
        <w:spacing w:line="480" w:lineRule="auto"/>
        <w:jc w:val="center"/>
      </w:pPr>
      <w:r>
        <w:rPr>
          <w:b/>
          <w:bCs/>
        </w:rPr>
        <w:t>Figura 1</w:t>
      </w:r>
    </w:p>
    <w:p w:rsidR="00F77570" w:rsidRDefault="00BA0A69" w14:paraId="4BC07355" w14:textId="77777777">
      <w:pPr>
        <w:keepNext/>
        <w:spacing w:line="480" w:lineRule="auto"/>
        <w:jc w:val="center"/>
      </w:pPr>
      <w:r>
        <w:rPr>
          <w:i/>
          <w:iCs/>
        </w:rPr>
        <w:t>Throughput y Latencia p95 vs. Concurrencia — PostgreSQL vs. MongoDB</w:t>
      </w:r>
    </w:p>
    <w:p w:rsidR="00F77570" w:rsidRDefault="00BA0A69" w14:paraId="3A0FF5F2" w14:textId="77777777">
      <w:pPr>
        <w:keepLines/>
        <w:spacing w:line="480" w:lineRule="auto"/>
        <w:jc w:val="center"/>
      </w:pPr>
      <w:r>
        <w:rPr>
          <w:noProof/>
        </w:rPr>
        <w:drawing>
          <wp:inline distT="0" distB="0" distL="0" distR="0" wp14:anchorId="0975F055" wp14:editId="07777777">
            <wp:extent cx="5905500" cy="2343150"/>
            <wp:effectExtent l="0" t="0" r="0" b="0"/>
            <wp:docPr id="1" name="Gráfica comparativa throughput y latencia p95 vs concurrencia" descr="Gráfica comparativa throughput y latencia p95 vs concurrencia" title="Gráfica comparativa throughput y latencia p95 vs concurrencia">
              <a:extLst xmlns:a="http://schemas.openxmlformats.org/drawingml/2006/main">
                <a:ext uri="{FF2B5EF4-FFF2-40B4-BE49-F238E27FC236}">
                  <a16:creationId xmlns:a16="http://schemas.microsoft.com/office/drawing/2014/main" id="{CF2F49EF-FCB0-45D1-B2A8-505DDDCF19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43150"/>
                    </a:xfrm>
                    <a:prstGeom prst="rect">
                      <a:avLst/>
                    </a:prstGeom>
                  </pic:spPr>
                </pic:pic>
              </a:graphicData>
            </a:graphic>
          </wp:inline>
        </w:drawing>
      </w:r>
    </w:p>
    <w:p w:rsidR="00F77570" w:rsidRDefault="00F77570" w14:paraId="5630AD66" w14:textId="77777777">
      <w:pPr>
        <w:spacing w:line="480" w:lineRule="auto"/>
      </w:pPr>
    </w:p>
    <w:p w:rsidR="00F77570" w:rsidRDefault="00BA0A69" w14:paraId="6A2EB331" w14:textId="77777777">
      <w:pPr>
        <w:pStyle w:val="heading20"/>
      </w:pPr>
      <w:r>
        <w:t>e.3 Puntos de Quiebre Identificados</w:t>
      </w:r>
    </w:p>
    <w:p w:rsidR="00F77570" w:rsidRDefault="00F77570" w14:paraId="61829076" w14:textId="77777777">
      <w:pPr>
        <w:spacing w:line="480" w:lineRule="auto"/>
      </w:pPr>
    </w:p>
    <w:p w:rsidR="00F77570" w:rsidRDefault="00BA0A69" w14:paraId="111075F5" w14:textId="77777777">
      <w:pPr>
        <w:spacing w:line="480" w:lineRule="auto"/>
        <w:ind w:firstLine="720"/>
        <w:jc w:val="both"/>
      </w:pPr>
      <w:r>
        <w:t>Se define punto de quiebre como el primer nivel de concurrencia donde aparecen errores o donde la latencia p95 supera 3 veces el valor baseline (concurrencia=1).</w:t>
      </w:r>
    </w:p>
    <w:p w:rsidR="00F77570" w:rsidRDefault="00F77570" w14:paraId="2BA226A1" w14:textId="77777777">
      <w:pPr>
        <w:spacing w:line="480" w:lineRule="auto"/>
      </w:pPr>
    </w:p>
    <w:p w:rsidR="00F77570" w:rsidRDefault="00BA0A69" w14:paraId="59C97A0E" w14:textId="77777777">
      <w:pPr>
        <w:spacing w:line="480" w:lineRule="auto"/>
        <w:jc w:val="center"/>
      </w:pPr>
      <w:r>
        <w:rPr>
          <w:b/>
          <w:bCs/>
        </w:rPr>
        <w:t>Tabla 4</w:t>
      </w:r>
    </w:p>
    <w:p w:rsidR="00F77570" w:rsidRDefault="00BA0A69" w14:paraId="505EA7B0" w14:textId="77777777">
      <w:pPr>
        <w:spacing w:line="480" w:lineRule="auto"/>
        <w:jc w:val="center"/>
      </w:pPr>
      <w:r>
        <w:rPr>
          <w:i/>
          <w:iCs/>
        </w:rPr>
        <w:t>Puntos de Quiebre por Motor y Tipo de Query</w:t>
      </w:r>
    </w:p>
    <w:p w:rsidR="00F77570" w:rsidRDefault="00F77570" w14:paraId="17AD93B2"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1700"/>
        <w:gridCol w:w="1700"/>
        <w:gridCol w:w="4260"/>
      </w:tblGrid>
      <w:tr w:rsidR="00F77570" w14:paraId="56A64475"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1A34489" w14:textId="77777777">
            <w:pPr>
              <w:spacing w:line="230" w:lineRule="auto"/>
              <w:jc w:val="center"/>
            </w:pPr>
            <w:r>
              <w:rPr>
                <w:b/>
                <w:bCs/>
                <w:color w:val="FFFFFF"/>
                <w:sz w:val="19"/>
                <w:szCs w:val="19"/>
              </w:rPr>
              <w:t>Motor</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587EB54" w14:textId="77777777">
            <w:pPr>
              <w:spacing w:line="230" w:lineRule="auto"/>
              <w:jc w:val="center"/>
            </w:pPr>
            <w:r>
              <w:rPr>
                <w:b/>
                <w:bCs/>
                <w:color w:val="FFFFFF"/>
                <w:sz w:val="19"/>
                <w:szCs w:val="19"/>
              </w:rPr>
              <w:t>Tipo query</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6AFD5F1" w14:textId="77777777">
            <w:pPr>
              <w:spacing w:line="230" w:lineRule="auto"/>
              <w:jc w:val="center"/>
            </w:pPr>
            <w:r>
              <w:rPr>
                <w:b/>
                <w:bCs/>
                <w:color w:val="FFFFFF"/>
                <w:sz w:val="19"/>
                <w:szCs w:val="19"/>
              </w:rPr>
              <w:t>Concurrencia de quiebre</w:t>
            </w:r>
          </w:p>
        </w:tc>
        <w:tc>
          <w:tcPr>
            <w:tcW w:w="42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3DFF8104" w14:textId="77777777">
            <w:pPr>
              <w:spacing w:line="230" w:lineRule="auto"/>
              <w:jc w:val="center"/>
            </w:pPr>
            <w:r>
              <w:rPr>
                <w:b/>
                <w:bCs/>
                <w:color w:val="FFFFFF"/>
                <w:sz w:val="19"/>
                <w:szCs w:val="19"/>
              </w:rPr>
              <w:t>Razón</w:t>
            </w:r>
          </w:p>
        </w:tc>
      </w:tr>
      <w:tr w:rsidR="00F77570" w14:paraId="0957FA78"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13EE960B" w14:textId="77777777">
            <w:pPr>
              <w:spacing w:line="230" w:lineRule="auto"/>
              <w:jc w:val="center"/>
            </w:pPr>
            <w:r>
              <w:rPr>
                <w:color w:val="000000"/>
                <w:sz w:val="19"/>
                <w:szCs w:val="19"/>
              </w:rPr>
              <w:t>PostgreSQL</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654816DA" w14:textId="77777777">
            <w:pPr>
              <w:spacing w:line="230" w:lineRule="auto"/>
              <w:jc w:val="center"/>
            </w:pPr>
            <w:r>
              <w:rPr>
                <w:color w:val="000000"/>
                <w:sz w:val="19"/>
                <w:szCs w:val="19"/>
              </w:rPr>
              <w:t>punto</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34C3CC76" w14:textId="77777777">
            <w:pPr>
              <w:spacing w:line="230" w:lineRule="auto"/>
              <w:jc w:val="center"/>
            </w:pPr>
            <w:r>
              <w:rPr>
                <w:color w:val="000000"/>
                <w:sz w:val="19"/>
                <w:szCs w:val="19"/>
              </w:rPr>
              <w:t>5</w:t>
            </w:r>
          </w:p>
        </w:tc>
        <w:tc>
          <w:tcPr>
            <w:tcW w:w="426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4878E021" w14:textId="77777777">
            <w:pPr>
              <w:spacing w:line="230" w:lineRule="auto"/>
            </w:pPr>
            <w:r>
              <w:rPr>
                <w:color w:val="000000"/>
                <w:sz w:val="19"/>
                <w:szCs w:val="19"/>
              </w:rPr>
              <w:t>p95 supera 3× el baseline (umbral 1.580 ms)</w:t>
            </w:r>
          </w:p>
        </w:tc>
      </w:tr>
      <w:tr w:rsidR="00F77570" w14:paraId="3C903953"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006553F9" w14:textId="77777777">
            <w:pPr>
              <w:spacing w:line="230" w:lineRule="auto"/>
              <w:jc w:val="center"/>
            </w:pPr>
            <w:r>
              <w:rPr>
                <w:color w:val="000000"/>
                <w:sz w:val="19"/>
                <w:szCs w:val="19"/>
              </w:rPr>
              <w:t>PostgreSQL</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176CBD08" w14:textId="77777777">
            <w:pPr>
              <w:spacing w:line="230" w:lineRule="auto"/>
              <w:jc w:val="center"/>
            </w:pPr>
            <w:r>
              <w:rPr>
                <w:color w:val="000000"/>
                <w:sz w:val="19"/>
                <w:szCs w:val="19"/>
              </w:rPr>
              <w:t>compleja</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22F65FF9" w14:textId="77777777">
            <w:pPr>
              <w:spacing w:line="230" w:lineRule="auto"/>
              <w:jc w:val="center"/>
            </w:pPr>
            <w:r>
              <w:rPr>
                <w:color w:val="000000"/>
                <w:sz w:val="19"/>
                <w:szCs w:val="19"/>
              </w:rPr>
              <w:t>10</w:t>
            </w:r>
          </w:p>
        </w:tc>
        <w:tc>
          <w:tcPr>
            <w:tcW w:w="426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4429F21F" w14:textId="77777777">
            <w:pPr>
              <w:spacing w:line="230" w:lineRule="auto"/>
            </w:pPr>
            <w:r>
              <w:rPr>
                <w:color w:val="000000"/>
                <w:sz w:val="19"/>
                <w:szCs w:val="19"/>
              </w:rPr>
              <w:t>p95 supera 3× el baseline (umbral 4.996 ms)</w:t>
            </w:r>
          </w:p>
        </w:tc>
      </w:tr>
      <w:tr w:rsidR="00F77570" w14:paraId="72525394"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149E074A" w14:textId="77777777">
            <w:pPr>
              <w:spacing w:line="230" w:lineRule="auto"/>
              <w:jc w:val="center"/>
            </w:pPr>
            <w:r>
              <w:rPr>
                <w:color w:val="000000"/>
                <w:sz w:val="19"/>
                <w:szCs w:val="19"/>
              </w:rPr>
              <w:t>MongoDB</w:t>
            </w:r>
          </w:p>
        </w:tc>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6E524ED1" w14:textId="77777777">
            <w:pPr>
              <w:spacing w:line="230" w:lineRule="auto"/>
              <w:jc w:val="center"/>
            </w:pPr>
            <w:r>
              <w:rPr>
                <w:color w:val="000000"/>
                <w:sz w:val="19"/>
                <w:szCs w:val="19"/>
              </w:rPr>
              <w:t>punto</w:t>
            </w:r>
          </w:p>
        </w:tc>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37F936DD" w14:textId="77777777">
            <w:pPr>
              <w:spacing w:line="230" w:lineRule="auto"/>
              <w:jc w:val="center"/>
            </w:pPr>
            <w:r>
              <w:rPr>
                <w:color w:val="000000"/>
                <w:sz w:val="19"/>
                <w:szCs w:val="19"/>
              </w:rPr>
              <w:t>No alcanzado</w:t>
            </w:r>
          </w:p>
        </w:tc>
        <w:tc>
          <w:tcPr>
            <w:tcW w:w="42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312B1915" w14:textId="77777777">
            <w:pPr>
              <w:spacing w:line="230" w:lineRule="auto"/>
            </w:pPr>
            <w:r>
              <w:rPr>
                <w:color w:val="000000"/>
                <w:sz w:val="19"/>
                <w:szCs w:val="19"/>
              </w:rPr>
              <w:t>Sin degradación significativa en el rango probado (1-30)</w:t>
            </w:r>
          </w:p>
        </w:tc>
      </w:tr>
      <w:tr w:rsidR="00F77570" w14:paraId="0D080057"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4C9C56B1" w14:textId="77777777">
            <w:pPr>
              <w:spacing w:line="230" w:lineRule="auto"/>
              <w:jc w:val="center"/>
            </w:pPr>
            <w:r>
              <w:rPr>
                <w:color w:val="000000"/>
                <w:sz w:val="19"/>
                <w:szCs w:val="19"/>
              </w:rPr>
              <w:t>MongoDB</w:t>
            </w:r>
          </w:p>
        </w:tc>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63C2C52F" w14:textId="77777777">
            <w:pPr>
              <w:spacing w:line="230" w:lineRule="auto"/>
              <w:jc w:val="center"/>
            </w:pPr>
            <w:r>
              <w:rPr>
                <w:color w:val="000000"/>
                <w:sz w:val="19"/>
                <w:szCs w:val="19"/>
              </w:rPr>
              <w:t>compleja</w:t>
            </w:r>
          </w:p>
        </w:tc>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77BB07BD" w14:textId="77777777">
            <w:pPr>
              <w:spacing w:line="230" w:lineRule="auto"/>
              <w:jc w:val="center"/>
            </w:pPr>
            <w:r>
              <w:rPr>
                <w:color w:val="000000"/>
                <w:sz w:val="19"/>
                <w:szCs w:val="19"/>
              </w:rPr>
              <w:t>20</w:t>
            </w:r>
          </w:p>
        </w:tc>
        <w:tc>
          <w:tcPr>
            <w:tcW w:w="42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696E62B5" w14:textId="77777777">
            <w:pPr>
              <w:spacing w:line="230" w:lineRule="auto"/>
            </w:pPr>
            <w:r>
              <w:rPr>
                <w:color w:val="000000"/>
                <w:sz w:val="19"/>
                <w:szCs w:val="19"/>
              </w:rPr>
              <w:t>p95 supera 3× el baseline (umbral 938 ms) — degradación, no falla</w:t>
            </w:r>
          </w:p>
        </w:tc>
      </w:tr>
    </w:tbl>
    <w:p w:rsidR="00F77570" w:rsidRDefault="00F77570" w14:paraId="0DE4B5B7" w14:textId="77777777">
      <w:pPr>
        <w:spacing w:line="480" w:lineRule="auto"/>
      </w:pPr>
    </w:p>
    <w:p w:rsidR="00F77570" w:rsidRDefault="00BA0A69" w14:paraId="7BF4D4FC" w14:textId="77777777">
      <w:pPr>
        <w:pStyle w:val="heading20"/>
      </w:pPr>
      <w:r>
        <w:t>e.4 Interpretación Correcta del Hallazgo: Saturación de Connection Pooler, NO Limitación de PostgreSQL</w:t>
      </w:r>
    </w:p>
    <w:p w:rsidR="00F77570" w:rsidRDefault="00F77570" w14:paraId="66204FF1" w14:textId="77777777">
      <w:pPr>
        <w:spacing w:line="480" w:lineRule="auto"/>
      </w:pPr>
    </w:p>
    <w:p w:rsidR="00F77570" w:rsidRDefault="00BA0A69" w14:paraId="19939B2B" w14:textId="77777777">
      <w:pPr>
        <w:spacing w:line="480" w:lineRule="auto"/>
        <w:ind w:firstLine="720"/>
        <w:jc w:val="both"/>
      </w:pPr>
      <w:r>
        <w:t>El hallazgo más relevante de esta evaluación no es la magnitud de la diferencia entre motores, sino su causa raíz. Un análisis superficial de la Tabla 2 podría concluir erróneamente que "PostgreSQL es 24 veces más lento que MongoDB". Esta conclusión sería técnicamente incorrecta y constituye precisamente el tipo de error de atribución que este análisis crítico busca evitar.</w:t>
      </w:r>
    </w:p>
    <w:p w:rsidR="00F77570" w:rsidRDefault="00F77570" w14:paraId="2DBF0D7D" w14:textId="77777777">
      <w:pPr>
        <w:spacing w:line="480" w:lineRule="auto"/>
      </w:pPr>
    </w:p>
    <w:p w:rsidR="00F77570" w:rsidRDefault="00BA0A69" w14:paraId="03927541" w14:textId="77777777">
      <w:pPr>
        <w:spacing w:line="480" w:lineRule="auto"/>
        <w:ind w:firstLine="720"/>
        <w:jc w:val="both"/>
      </w:pPr>
      <w:r>
        <w:t>La evidencia que descarta una limitación inherente del motor relacional es la siguiente: al analizar los registros individuales en concurrencia 15, 20 y 30 para PostgreSQL, se observa un patrón matemáticamente consistente con una cola FIFO de capacidad fija que drena a una tasa aproximada de 1 solicitud por segundo:</w:t>
      </w:r>
    </w:p>
    <w:p w:rsidR="00F77570" w:rsidRDefault="00F77570" w14:paraId="6B62F1B3" w14:textId="77777777">
      <w:pPr>
        <w:spacing w:line="480" w:lineRule="auto"/>
      </w:pPr>
    </w:p>
    <w:p w:rsidR="00F77570" w:rsidRDefault="00BA0A69" w14:paraId="72A0BBFC" w14:textId="77777777">
      <w:pPr>
        <w:spacing w:line="480" w:lineRule="auto"/>
        <w:jc w:val="center"/>
      </w:pPr>
      <w:r>
        <w:rPr>
          <w:b/>
          <w:bCs/>
        </w:rPr>
        <w:t>Tabla 5</w:t>
      </w:r>
    </w:p>
    <w:p w:rsidR="00F77570" w:rsidRDefault="00BA0A69" w14:paraId="0361DD42" w14:textId="77777777">
      <w:pPr>
        <w:spacing w:line="480" w:lineRule="auto"/>
        <w:jc w:val="center"/>
      </w:pPr>
      <w:r>
        <w:rPr>
          <w:i/>
          <w:iCs/>
        </w:rPr>
        <w:t>Evidencia del Patrón de Cola FIFO en el Connection Pooler de Supabase</w:t>
      </w:r>
    </w:p>
    <w:p w:rsidR="00F77570" w:rsidRDefault="00F77570" w14:paraId="02F2C34E"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1700"/>
        <w:gridCol w:w="1700"/>
        <w:gridCol w:w="1700"/>
        <w:gridCol w:w="2860"/>
      </w:tblGrid>
      <w:tr w:rsidR="00F77570" w14:paraId="0A54E7F8" w14:textId="77777777">
        <w:tblPrEx>
          <w:tblCellMar>
            <w:top w:w="0" w:type="dxa"/>
            <w:bottom w:w="0" w:type="dxa"/>
          </w:tblCellMar>
        </w:tblPrEx>
        <w:tc>
          <w:tcPr>
            <w:tcW w:w="14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DB33040" w14:textId="77777777">
            <w:pPr>
              <w:spacing w:line="230" w:lineRule="auto"/>
              <w:jc w:val="center"/>
            </w:pPr>
            <w:r>
              <w:rPr>
                <w:b/>
                <w:bCs/>
                <w:color w:val="FFFFFF"/>
                <w:sz w:val="19"/>
                <w:szCs w:val="19"/>
              </w:rPr>
              <w:t>Concurrencia</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C4978B8" w14:textId="77777777">
            <w:pPr>
              <w:spacing w:line="230" w:lineRule="auto"/>
              <w:jc w:val="center"/>
            </w:pPr>
            <w:r>
              <w:rPr>
                <w:b/>
                <w:bCs/>
                <w:color w:val="FFFFFF"/>
                <w:sz w:val="19"/>
                <w:szCs w:val="19"/>
              </w:rPr>
              <w:t>total_ops</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6A74660" w14:textId="77777777">
            <w:pPr>
              <w:spacing w:line="230" w:lineRule="auto"/>
              <w:jc w:val="center"/>
            </w:pPr>
            <w:r>
              <w:rPr>
                <w:b/>
                <w:bCs/>
                <w:color w:val="FFFFFF"/>
                <w:sz w:val="19"/>
                <w:szCs w:val="19"/>
              </w:rPr>
              <w:t>Errores</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005F828" w14:textId="77777777">
            <w:pPr>
              <w:spacing w:line="230" w:lineRule="auto"/>
              <w:jc w:val="center"/>
            </w:pPr>
            <w:r>
              <w:rPr>
                <w:b/>
                <w:bCs/>
                <w:color w:val="FFFFFF"/>
                <w:sz w:val="19"/>
                <w:szCs w:val="19"/>
              </w:rPr>
              <w:t>p50≈p95≈p99</w:t>
            </w:r>
          </w:p>
        </w:tc>
        <w:tc>
          <w:tcPr>
            <w:tcW w:w="28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A806894" w14:textId="77777777">
            <w:pPr>
              <w:spacing w:line="230" w:lineRule="auto"/>
              <w:jc w:val="center"/>
            </w:pPr>
            <w:r>
              <w:rPr>
                <w:b/>
                <w:bCs/>
                <w:color w:val="FFFFFF"/>
                <w:sz w:val="19"/>
                <w:szCs w:val="19"/>
              </w:rPr>
              <w:t>Lectura del patrón</w:t>
            </w:r>
          </w:p>
        </w:tc>
      </w:tr>
      <w:tr w:rsidR="00F77570" w14:paraId="22C17308" w14:textId="77777777">
        <w:tblPrEx>
          <w:tblCellMar>
            <w:top w:w="0" w:type="dxa"/>
            <w:bottom w:w="0" w:type="dxa"/>
          </w:tblCellMar>
        </w:tblPrEx>
        <w:tc>
          <w:tcPr>
            <w:tcW w:w="1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1090324" w14:textId="77777777">
            <w:pPr>
              <w:spacing w:line="230" w:lineRule="auto"/>
              <w:jc w:val="center"/>
            </w:pPr>
            <w:r>
              <w:rPr>
                <w:color w:val="000000"/>
                <w:sz w:val="19"/>
                <w:szCs w:val="19"/>
              </w:rPr>
              <w:t>15</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7D23D5B" w14:textId="77777777">
            <w:pPr>
              <w:spacing w:line="230" w:lineRule="auto"/>
              <w:jc w:val="center"/>
            </w:pPr>
            <w:r>
              <w:rPr>
                <w:color w:val="000000"/>
                <w:sz w:val="19"/>
                <w:szCs w:val="19"/>
              </w:rPr>
              <w:t>15</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D56E414" w14:textId="77777777">
            <w:pPr>
              <w:spacing w:line="230" w:lineRule="auto"/>
              <w:jc w:val="center"/>
            </w:pPr>
            <w:r>
              <w:rPr>
                <w:color w:val="000000"/>
                <w:sz w:val="19"/>
                <w:szCs w:val="19"/>
              </w:rPr>
              <w:t>0</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122A078" w14:textId="77777777">
            <w:pPr>
              <w:spacing w:line="230" w:lineRule="auto"/>
              <w:jc w:val="center"/>
            </w:pPr>
            <w:r>
              <w:rPr>
                <w:color w:val="000000"/>
                <w:sz w:val="19"/>
                <w:szCs w:val="19"/>
              </w:rPr>
              <w:t>≈ 13.988 ms</w:t>
            </w:r>
          </w:p>
        </w:tc>
        <w:tc>
          <w:tcPr>
            <w:tcW w:w="28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32A226B" w14:textId="77777777">
            <w:pPr>
              <w:spacing w:line="230" w:lineRule="auto"/>
            </w:pPr>
            <w:r>
              <w:rPr>
                <w:color w:val="000000"/>
                <w:sz w:val="19"/>
                <w:szCs w:val="19"/>
              </w:rPr>
              <w:t>15 hilos, cada uno completa exactamente 1 operación tras esperar ≈14 s en cola</w:t>
            </w:r>
          </w:p>
        </w:tc>
      </w:tr>
      <w:tr w:rsidR="00F77570" w14:paraId="4117C116" w14:textId="77777777">
        <w:tblPrEx>
          <w:tblCellMar>
            <w:top w:w="0" w:type="dxa"/>
            <w:bottom w:w="0" w:type="dxa"/>
          </w:tblCellMar>
        </w:tblPrEx>
        <w:tc>
          <w:tcPr>
            <w:tcW w:w="14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74BC2F5A" w14:textId="77777777">
            <w:pPr>
              <w:spacing w:line="230" w:lineRule="auto"/>
              <w:jc w:val="center"/>
            </w:pPr>
            <w:r>
              <w:rPr>
                <w:color w:val="000000"/>
                <w:sz w:val="19"/>
                <w:szCs w:val="19"/>
              </w:rPr>
              <w:t>20</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2E56BDFE" w14:textId="77777777">
            <w:pPr>
              <w:spacing w:line="230" w:lineRule="auto"/>
              <w:jc w:val="center"/>
            </w:pPr>
            <w:r>
              <w:rPr>
                <w:color w:val="000000"/>
                <w:sz w:val="19"/>
                <w:szCs w:val="19"/>
              </w:rPr>
              <w:t>15</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5090736E" w14:textId="77777777">
            <w:pPr>
              <w:spacing w:line="230" w:lineRule="auto"/>
              <w:jc w:val="center"/>
            </w:pPr>
            <w:r>
              <w:rPr>
                <w:color w:val="000000"/>
                <w:sz w:val="19"/>
                <w:szCs w:val="19"/>
              </w:rPr>
              <w:t>5</w:t>
            </w:r>
          </w:p>
        </w:tc>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29A38DD3" w14:textId="77777777">
            <w:pPr>
              <w:spacing w:line="230" w:lineRule="auto"/>
              <w:jc w:val="center"/>
            </w:pPr>
            <w:r>
              <w:rPr>
                <w:color w:val="000000"/>
                <w:sz w:val="19"/>
                <w:szCs w:val="19"/>
              </w:rPr>
              <w:t>≈ 19.275 ms</w:t>
            </w:r>
          </w:p>
        </w:tc>
        <w:tc>
          <w:tcPr>
            <w:tcW w:w="286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3E522FFC" w14:textId="77777777">
            <w:pPr>
              <w:spacing w:line="230" w:lineRule="auto"/>
            </w:pPr>
            <w:r>
              <w:rPr>
                <w:color w:val="000000"/>
                <w:sz w:val="19"/>
                <w:szCs w:val="19"/>
              </w:rPr>
              <w:t>5 solicitudes rechazadas de inmediato; 15 admitidas esperan ≈19 s</w:t>
            </w:r>
          </w:p>
        </w:tc>
      </w:tr>
      <w:tr w:rsidR="00F77570" w14:paraId="0C0B62FA" w14:textId="77777777">
        <w:tblPrEx>
          <w:tblCellMar>
            <w:top w:w="0" w:type="dxa"/>
            <w:bottom w:w="0" w:type="dxa"/>
          </w:tblCellMar>
        </w:tblPrEx>
        <w:tc>
          <w:tcPr>
            <w:tcW w:w="1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E98577D" w14:textId="77777777">
            <w:pPr>
              <w:spacing w:line="230" w:lineRule="auto"/>
              <w:jc w:val="center"/>
            </w:pPr>
            <w:r>
              <w:rPr>
                <w:color w:val="000000"/>
                <w:sz w:val="19"/>
                <w:szCs w:val="19"/>
              </w:rPr>
              <w:t>30</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606C69F" w14:textId="77777777">
            <w:pPr>
              <w:spacing w:line="230" w:lineRule="auto"/>
              <w:jc w:val="center"/>
            </w:pPr>
            <w:r>
              <w:rPr>
                <w:color w:val="000000"/>
                <w:sz w:val="19"/>
                <w:szCs w:val="19"/>
              </w:rPr>
              <w:t>15</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774BB65" w14:textId="77777777">
            <w:pPr>
              <w:spacing w:line="230" w:lineRule="auto"/>
              <w:jc w:val="center"/>
            </w:pPr>
            <w:r>
              <w:rPr>
                <w:color w:val="000000"/>
                <w:sz w:val="19"/>
                <w:szCs w:val="19"/>
              </w:rPr>
              <w:t>15</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2A4F987" w14:textId="77777777">
            <w:pPr>
              <w:spacing w:line="230" w:lineRule="auto"/>
              <w:jc w:val="center"/>
            </w:pPr>
            <w:r>
              <w:rPr>
                <w:color w:val="000000"/>
                <w:sz w:val="19"/>
                <w:szCs w:val="19"/>
              </w:rPr>
              <w:t>≈ 29.623 ms</w:t>
            </w:r>
          </w:p>
        </w:tc>
        <w:tc>
          <w:tcPr>
            <w:tcW w:w="28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9791817" w14:textId="77777777">
            <w:pPr>
              <w:spacing w:line="230" w:lineRule="auto"/>
            </w:pPr>
            <w:r>
              <w:rPr>
                <w:color w:val="000000"/>
                <w:sz w:val="19"/>
                <w:szCs w:val="19"/>
              </w:rPr>
              <w:t>15 rechazadas; 15 admitidas esperan ≈29,6 s — drenaje constante</w:t>
            </w:r>
          </w:p>
        </w:tc>
      </w:tr>
    </w:tbl>
    <w:p w:rsidR="00F77570" w:rsidRDefault="00F77570" w14:paraId="680A4E5D" w14:textId="77777777">
      <w:pPr>
        <w:spacing w:line="480" w:lineRule="auto"/>
      </w:pPr>
    </w:p>
    <w:p w:rsidR="00F77570" w:rsidRDefault="00BA0A69" w14:paraId="7C6921C9" w14:textId="77777777">
      <w:pPr>
        <w:spacing w:line="480" w:lineRule="auto"/>
        <w:ind w:firstLine="720"/>
        <w:jc w:val="both"/>
      </w:pPr>
      <w:r>
        <w:t>El patrón es inequívoco: con 15 clientes, el tiempo de espera (≈14 s) corresponde a un cliente en la posición ~14 de una cola que drena a ~1 solicitud/segundo. Con 20 clientes, las primeras 5 solicitudes son rechazadas (lo que indica un límite duro de admisión) y las 15 restantes esperan ~19 s en cola — aritméticamente coherente (5 rechazadas + 15 en cola = 20 solicitudes totales). Con 30 clientes, el mismo mecanismo se repite con 15 rechazadas y 15 en cola, esperando ~29,6 s. Esta progresión lineal (Δconcurrencia → Δlatencia proporcional) es la firma característica de un sistema de colas M/D/1 con capacidad de servicio fija y un umbral de admisión —exactamente el comportamiento esperado de un PgBouncer en modo Session con un pool de tamaño reducido, típico del free tier de Supabase.</w:t>
      </w:r>
    </w:p>
    <w:p w:rsidR="00F77570" w:rsidRDefault="00F77570" w14:paraId="19219836" w14:textId="77777777">
      <w:pPr>
        <w:spacing w:line="480" w:lineRule="auto"/>
      </w:pPr>
    </w:p>
    <w:p w:rsidR="00F77570" w:rsidRDefault="00BA0A69" w14:paraId="34B4B0C5" w14:textId="77777777">
      <w:pPr>
        <w:spacing w:line="480" w:lineRule="auto"/>
        <w:ind w:firstLine="720"/>
        <w:jc w:val="both"/>
      </w:pPr>
      <w:r>
        <w:rPr>
          <w:b/>
          <w:bCs/>
        </w:rPr>
        <w:t xml:space="preserve">Conclusión metodológica: </w:t>
      </w:r>
      <w:r>
        <w:t>el cuello de botella identificado es de infraestructura de free tier (tamaño del pool de conexiones del lado de Supabase), no una propiedad arquitectónica de PostgreSQL como motor de bases de datos. PostgreSQL, con un pooler correctamente dimensionado o conexiones directas en un tier de producción, no exhibiría este comportamiento para esta carga de trabajo —ampliamente documentado en literatura de la industria (Kleppmann, 2017). Este matiz es la base de las recomendaciones de la Sección g.</w:t>
      </w:r>
    </w:p>
    <w:p w:rsidR="00F77570" w:rsidRDefault="00F77570" w14:paraId="296FEF7D" w14:textId="77777777">
      <w:pPr>
        <w:spacing w:line="480" w:lineRule="auto"/>
      </w:pPr>
    </w:p>
    <w:p w:rsidR="00F77570" w:rsidRDefault="00BA0A69" w14:paraId="4629D838" w14:textId="77777777">
      <w:pPr>
        <w:spacing w:line="480" w:lineRule="auto"/>
        <w:ind w:firstLine="720"/>
        <w:jc w:val="both"/>
      </w:pPr>
      <w:r>
        <w:rPr>
          <w:b/>
          <w:bCs/>
        </w:rPr>
        <w:t xml:space="preserve">Limitación metodológica a declarar: </w:t>
      </w:r>
      <w:r>
        <w:t>la métrica de throughput (ops/s) se calcula dividiendo el total de operaciones completadas por la duración nominal de la prueba (10 s). En los escenarios de saturación (concurrencia ≥15), las operaciones individuales bloquearon más allá de esa ventana nominal, por lo que el throughput reportado subestima la verdadera capacidad medida en tiempo de reloj real. Los percentiles de latencia, en cambio, son plenamente confiables y constituyen la evidencia primaria de esta sección.</w:t>
      </w:r>
    </w:p>
    <w:p w:rsidR="00F77570" w:rsidRDefault="00BA0A69" w14:paraId="7194DBDC" w14:textId="77777777">
      <w:r>
        <w:br w:type="page"/>
      </w:r>
    </w:p>
    <w:p w:rsidR="00F77570" w:rsidRDefault="00BA0A69" w14:paraId="5ED7A5A9" w14:textId="77777777">
      <w:pPr>
        <w:pStyle w:val="heading20"/>
      </w:pPr>
      <w:r>
        <w:t>e.5 Resultados — Escalabilidad de Dataset</w:t>
      </w:r>
    </w:p>
    <w:p w:rsidR="00F77570" w:rsidRDefault="00F77570" w14:paraId="769D0D3C" w14:textId="77777777">
      <w:pPr>
        <w:spacing w:line="480" w:lineRule="auto"/>
      </w:pPr>
    </w:p>
    <w:p w:rsidR="00F77570" w:rsidRDefault="00BA0A69" w14:paraId="69EB866A" w14:textId="77777777">
      <w:pPr>
        <w:spacing w:line="480" w:lineRule="auto"/>
        <w:ind w:firstLine="720"/>
        <w:jc w:val="both"/>
      </w:pPr>
      <w:r>
        <w:t>Se midió el mismo aggregation (ventas agrupadas por estado) sobre tres subconjuntos de tamaño creciente, aprovechando las particiones temporales ya existentes en la tabla orders como proxy de crecimiento de dataset, a concurrencia fija de 10 clientes.</w:t>
      </w:r>
    </w:p>
    <w:p w:rsidR="00F77570" w:rsidRDefault="00F77570" w14:paraId="54CD245A" w14:textId="77777777">
      <w:pPr>
        <w:spacing w:line="480" w:lineRule="auto"/>
      </w:pPr>
    </w:p>
    <w:p w:rsidR="00F77570" w:rsidRDefault="00BA0A69" w14:paraId="11D1BB69" w14:textId="77777777">
      <w:pPr>
        <w:spacing w:line="480" w:lineRule="auto"/>
        <w:jc w:val="center"/>
      </w:pPr>
      <w:r>
        <w:rPr>
          <w:b/>
          <w:bCs/>
        </w:rPr>
        <w:t>Tabla 6</w:t>
      </w:r>
    </w:p>
    <w:p w:rsidR="00F77570" w:rsidRDefault="00BA0A69" w14:paraId="091D0594" w14:textId="77777777">
      <w:pPr>
        <w:spacing w:line="480" w:lineRule="auto"/>
        <w:jc w:val="center"/>
      </w:pPr>
      <w:r>
        <w:rPr>
          <w:i/>
          <w:iCs/>
        </w:rPr>
        <w:t>Resultados de Escalabilidad por Tamaño de Subconjunto</w:t>
      </w:r>
    </w:p>
    <w:p w:rsidR="00F77570" w:rsidRDefault="00F77570" w14:paraId="1231BE67"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8"/>
        <w:gridCol w:w="1838"/>
        <w:gridCol w:w="1837"/>
        <w:gridCol w:w="1837"/>
        <w:gridCol w:w="2010"/>
      </w:tblGrid>
      <w:tr w:rsidR="00F77570" w14:paraId="67BC22DE"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C894785" w14:textId="77777777">
            <w:pPr>
              <w:spacing w:line="230" w:lineRule="auto"/>
              <w:jc w:val="center"/>
            </w:pPr>
            <w:r>
              <w:rPr>
                <w:b/>
                <w:bCs/>
                <w:color w:val="FFFFFF"/>
                <w:sz w:val="19"/>
                <w:szCs w:val="19"/>
              </w:rPr>
              <w:t>Subconjunto</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7890B06" w14:textId="77777777">
            <w:pPr>
              <w:spacing w:line="230" w:lineRule="auto"/>
              <w:jc w:val="center"/>
            </w:pPr>
            <w:r>
              <w:rPr>
                <w:b/>
                <w:bCs/>
                <w:color w:val="FFFFFF"/>
                <w:sz w:val="19"/>
                <w:szCs w:val="19"/>
              </w:rPr>
              <w:t>N° órdenes</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51897C8" w14:textId="77777777">
            <w:pPr>
              <w:spacing w:line="230" w:lineRule="auto"/>
              <w:jc w:val="center"/>
            </w:pPr>
            <w:r>
              <w:rPr>
                <w:b/>
                <w:bCs/>
                <w:color w:val="FFFFFF"/>
                <w:sz w:val="19"/>
                <w:szCs w:val="19"/>
              </w:rPr>
              <w:t>PG p95 (ms)</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D82FA35" w14:textId="77777777">
            <w:pPr>
              <w:spacing w:line="230" w:lineRule="auto"/>
              <w:jc w:val="center"/>
            </w:pPr>
            <w:r>
              <w:rPr>
                <w:b/>
                <w:bCs/>
                <w:color w:val="FFFFFF"/>
                <w:sz w:val="19"/>
                <w:szCs w:val="19"/>
              </w:rPr>
              <w:t>MDB p95 (ms)</w:t>
            </w:r>
          </w:p>
        </w:tc>
        <w:tc>
          <w:tcPr>
            <w:tcW w:w="18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598BF80" w14:textId="77777777">
            <w:pPr>
              <w:spacing w:line="230" w:lineRule="auto"/>
              <w:jc w:val="center"/>
            </w:pPr>
            <w:r>
              <w:rPr>
                <w:b/>
                <w:bCs/>
                <w:color w:val="FFFFFF"/>
                <w:sz w:val="19"/>
                <w:szCs w:val="19"/>
              </w:rPr>
              <w:t>Motor más predecible</w:t>
            </w:r>
          </w:p>
        </w:tc>
      </w:tr>
      <w:tr w:rsidR="00F77570" w14:paraId="16DEE1F8"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2ADB5338" w14:textId="77777777">
            <w:pPr>
              <w:spacing w:line="230" w:lineRule="auto"/>
              <w:jc w:val="center"/>
            </w:pPr>
            <w:r>
              <w:rPr>
                <w:color w:val="000000"/>
                <w:sz w:val="19"/>
                <w:szCs w:val="19"/>
              </w:rPr>
              <w:t>A — 2016 solo</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F1FDAB6" w14:textId="77777777">
            <w:pPr>
              <w:spacing w:line="230" w:lineRule="auto"/>
              <w:jc w:val="center"/>
            </w:pPr>
            <w:r>
              <w:rPr>
                <w:color w:val="000000"/>
                <w:sz w:val="19"/>
                <w:szCs w:val="19"/>
              </w:rPr>
              <w:t>638</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6D1F6B66" w14:textId="77777777">
            <w:pPr>
              <w:spacing w:line="230" w:lineRule="auto"/>
              <w:jc w:val="center"/>
            </w:pPr>
            <w:r>
              <w:rPr>
                <w:color w:val="000000"/>
                <w:sz w:val="19"/>
                <w:szCs w:val="19"/>
              </w:rPr>
              <w:t>9.867,09</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3278FAC" w14:textId="77777777">
            <w:pPr>
              <w:spacing w:line="230" w:lineRule="auto"/>
              <w:jc w:val="center"/>
            </w:pPr>
            <w:r>
              <w:rPr>
                <w:color w:val="000000"/>
                <w:sz w:val="19"/>
                <w:szCs w:val="19"/>
              </w:rPr>
              <w:t>182,47</w:t>
            </w:r>
          </w:p>
        </w:tc>
        <w:tc>
          <w:tcPr>
            <w:tcW w:w="18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0845A3B" w14:textId="77777777">
            <w:pPr>
              <w:spacing w:line="230" w:lineRule="auto"/>
              <w:jc w:val="center"/>
            </w:pPr>
            <w:r>
              <w:rPr>
                <w:color w:val="000000"/>
                <w:sz w:val="19"/>
                <w:szCs w:val="19"/>
              </w:rPr>
              <w:t>MongoDB</w:t>
            </w:r>
          </w:p>
        </w:tc>
      </w:tr>
      <w:tr w:rsidR="00F77570" w14:paraId="615740E9"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1898733" w14:textId="77777777">
            <w:pPr>
              <w:spacing w:line="230" w:lineRule="auto"/>
              <w:jc w:val="center"/>
            </w:pPr>
            <w:r>
              <w:rPr>
                <w:color w:val="000000"/>
                <w:sz w:val="19"/>
                <w:szCs w:val="19"/>
              </w:rPr>
              <w:t>B — 2016+2017</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398C6102" w14:textId="77777777">
            <w:pPr>
              <w:spacing w:line="230" w:lineRule="auto"/>
              <w:jc w:val="center"/>
            </w:pPr>
            <w:r>
              <w:rPr>
                <w:color w:val="000000"/>
                <w:sz w:val="19"/>
                <w:szCs w:val="19"/>
              </w:rPr>
              <w:t>87.126</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6943CCF7" w14:textId="77777777">
            <w:pPr>
              <w:spacing w:line="230" w:lineRule="auto"/>
              <w:jc w:val="center"/>
            </w:pPr>
            <w:r>
              <w:rPr>
                <w:color w:val="000000"/>
                <w:sz w:val="19"/>
                <w:szCs w:val="19"/>
              </w:rPr>
              <w:t>10.149,87</w:t>
            </w:r>
          </w:p>
        </w:tc>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4FAB07A3" w14:textId="77777777">
            <w:pPr>
              <w:spacing w:line="230" w:lineRule="auto"/>
              <w:jc w:val="center"/>
            </w:pPr>
            <w:r>
              <w:rPr>
                <w:color w:val="000000"/>
                <w:sz w:val="19"/>
                <w:szCs w:val="19"/>
              </w:rPr>
              <w:t>1.566,23</w:t>
            </w:r>
          </w:p>
        </w:tc>
        <w:tc>
          <w:tcPr>
            <w:tcW w:w="18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vAlign w:val="center"/>
          </w:tcPr>
          <w:p w:rsidR="00F77570" w:rsidRDefault="00BA0A69" w14:paraId="0111912E" w14:textId="77777777">
            <w:pPr>
              <w:spacing w:line="230" w:lineRule="auto"/>
              <w:jc w:val="center"/>
            </w:pPr>
            <w:r>
              <w:rPr>
                <w:color w:val="000000"/>
                <w:sz w:val="19"/>
                <w:szCs w:val="19"/>
              </w:rPr>
              <w:t>MongoDB</w:t>
            </w:r>
          </w:p>
        </w:tc>
      </w:tr>
      <w:tr w:rsidR="00F77570" w14:paraId="4DE60A60"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74805FC0" w14:textId="77777777">
            <w:pPr>
              <w:spacing w:line="230" w:lineRule="auto"/>
              <w:jc w:val="center"/>
            </w:pPr>
            <w:r>
              <w:rPr>
                <w:color w:val="000000"/>
                <w:sz w:val="19"/>
                <w:szCs w:val="19"/>
              </w:rPr>
              <w:t>C — Completo</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45AE7F9B" w14:textId="77777777">
            <w:pPr>
              <w:spacing w:line="230" w:lineRule="auto"/>
              <w:jc w:val="center"/>
            </w:pPr>
            <w:r>
              <w:rPr>
                <w:color w:val="000000"/>
                <w:sz w:val="19"/>
                <w:szCs w:val="19"/>
              </w:rPr>
              <w:t>191.648</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3E85D0EF" w14:textId="77777777">
            <w:pPr>
              <w:spacing w:line="230" w:lineRule="auto"/>
              <w:jc w:val="center"/>
            </w:pPr>
            <w:r>
              <w:rPr>
                <w:color w:val="000000"/>
                <w:sz w:val="19"/>
                <w:szCs w:val="19"/>
              </w:rPr>
              <w:t>10.166,14</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54268AED" w14:textId="77777777">
            <w:pPr>
              <w:spacing w:line="230" w:lineRule="auto"/>
              <w:jc w:val="center"/>
            </w:pPr>
            <w:r>
              <w:rPr>
                <w:color w:val="000000"/>
                <w:sz w:val="19"/>
                <w:szCs w:val="19"/>
              </w:rPr>
              <w:t>3.364,80</w:t>
            </w:r>
          </w:p>
        </w:tc>
        <w:tc>
          <w:tcPr>
            <w:tcW w:w="18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vAlign w:val="center"/>
          </w:tcPr>
          <w:p w:rsidR="00F77570" w:rsidRDefault="00BA0A69" w14:paraId="1F8585E3" w14:textId="77777777">
            <w:pPr>
              <w:spacing w:line="230" w:lineRule="auto"/>
              <w:jc w:val="center"/>
            </w:pPr>
            <w:r>
              <w:rPr>
                <w:color w:val="000000"/>
                <w:sz w:val="19"/>
                <w:szCs w:val="19"/>
              </w:rPr>
              <w:t>MongoDB</w:t>
            </w:r>
          </w:p>
        </w:tc>
      </w:tr>
    </w:tbl>
    <w:p w:rsidR="00F77570" w:rsidRDefault="00F77570" w14:paraId="36FEB5B0" w14:textId="77777777">
      <w:pPr>
        <w:spacing w:line="480" w:lineRule="auto"/>
      </w:pPr>
    </w:p>
    <w:p w:rsidR="00F77570" w:rsidRDefault="00F77570" w14:paraId="30D7AA69" w14:textId="77777777">
      <w:pPr>
        <w:spacing w:line="480" w:lineRule="auto"/>
      </w:pPr>
    </w:p>
    <w:p w:rsidR="00F77570" w:rsidRDefault="00BA0A69" w14:paraId="514328CE" w14:textId="77777777">
      <w:pPr>
        <w:keepNext/>
        <w:spacing w:line="480" w:lineRule="auto"/>
        <w:jc w:val="center"/>
      </w:pPr>
      <w:r>
        <w:rPr>
          <w:b/>
          <w:bCs/>
        </w:rPr>
        <w:t>Figura 2</w:t>
      </w:r>
    </w:p>
    <w:p w:rsidR="00F77570" w:rsidRDefault="00BA0A69" w14:paraId="1EE3552F" w14:textId="77777777">
      <w:pPr>
        <w:keepNext/>
        <w:spacing w:line="480" w:lineRule="auto"/>
        <w:jc w:val="center"/>
      </w:pPr>
      <w:r>
        <w:rPr>
          <w:i/>
          <w:iCs/>
        </w:rPr>
        <w:t>Degradación de Latencia p95 vs. Tamaño de Dataset (concurrencia fija = 10)</w:t>
      </w:r>
    </w:p>
    <w:p w:rsidR="00F77570" w:rsidRDefault="00BA0A69" w14:paraId="7196D064" w14:textId="77777777">
      <w:pPr>
        <w:keepLines/>
        <w:spacing w:line="480" w:lineRule="auto"/>
        <w:jc w:val="center"/>
      </w:pPr>
      <w:r>
        <w:rPr>
          <w:noProof/>
        </w:rPr>
        <w:drawing>
          <wp:inline distT="0" distB="0" distL="0" distR="0" wp14:anchorId="1ED91F0E" wp14:editId="07777777">
            <wp:extent cx="4572000" cy="3019425"/>
            <wp:effectExtent l="0" t="0" r="0" b="0"/>
            <wp:docPr id="1020032105" name="Gráfica de escalabilidad: latencia p95 vs número de órdenes" descr="Gráfica de escalabilidad: latencia p95 vs número de órdenes" title="Gráfica de escalabilidad: latencia p95 vs número de órdenes">
              <a:extLst xmlns:a="http://schemas.openxmlformats.org/drawingml/2006/main">
                <a:ext uri="{FF2B5EF4-FFF2-40B4-BE49-F238E27FC236}">
                  <a16:creationId xmlns:a16="http://schemas.microsoft.com/office/drawing/2014/main" id="{DC514F18-CF48-4B65-9A3F-169AA3C53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19425"/>
                    </a:xfrm>
                    <a:prstGeom prst="rect">
                      <a:avLst/>
                    </a:prstGeom>
                  </pic:spPr>
                </pic:pic>
              </a:graphicData>
            </a:graphic>
          </wp:inline>
        </w:drawing>
      </w:r>
    </w:p>
    <w:p w:rsidR="00F77570" w:rsidRDefault="00F77570" w14:paraId="34FF1C98" w14:textId="77777777">
      <w:pPr>
        <w:spacing w:line="480" w:lineRule="auto"/>
      </w:pPr>
    </w:p>
    <w:p w:rsidR="00F77570" w:rsidRDefault="00BA0A69" w14:paraId="2B0115DF" w14:textId="77777777">
      <w:pPr>
        <w:pStyle w:val="heading20"/>
      </w:pPr>
      <w:r>
        <w:t>e.6 Interpretación Crítica de la Escalabilidad: Resultado Confundido (Confounded) para PostgreSQL</w:t>
      </w:r>
    </w:p>
    <w:p w:rsidR="00F77570" w:rsidRDefault="00F77570" w14:paraId="6D072C0D" w14:textId="77777777">
      <w:pPr>
        <w:spacing w:line="480" w:lineRule="auto"/>
      </w:pPr>
    </w:p>
    <w:p w:rsidR="00F77570" w:rsidRDefault="00BA0A69" w14:paraId="68208B1D" w14:textId="77777777">
      <w:pPr>
        <w:spacing w:line="480" w:lineRule="auto"/>
        <w:ind w:firstLine="720"/>
        <w:jc w:val="both"/>
      </w:pPr>
      <w:r>
        <w:t>El resultado de PostgreSQL en esta prueba exige la misma cautela interpretativa que la Sección e.4: la latencia p95 permanece prácticamente constante (~9.870-10.170 ms) a pesar de un crecimiento de 300 veces en el volumen de datos (638 → 191.648 órdenes), un incremento de apenas 3%. Una lectura ingenua concluiría que "PostgreSQL escala perfectamente con el tamaño del dataset". Esa conclusión es incorrecta: el experimento está confundido (confounded) por el mismo cuello de botella de connection pooling identificado en la Sección e.4. La concurrencia fija de 10 clientes para esta prueba ya excede el punto de quiebre de PostgreSQL identificado en la Tabla 4 (quiebre en concurrencia=5 para queries de punto, =10 para complejas). El total_ops≈18-19 en los tres subconjuntos —prácticamente idéntico— confirma que el sistema opera en el mismo régimen de saturación en los tres casos, enmascarando por completo el efecto real del volumen de datos sobre el tiempo de ejecución de la query.</w:t>
      </w:r>
    </w:p>
    <w:p w:rsidR="00F77570" w:rsidRDefault="00F77570" w14:paraId="48A21919" w14:textId="77777777">
      <w:pPr>
        <w:spacing w:line="480" w:lineRule="auto"/>
      </w:pPr>
    </w:p>
    <w:p w:rsidR="00F77570" w:rsidRDefault="00BA0A69" w14:paraId="380FE9EA" w14:textId="77777777">
      <w:pPr>
        <w:spacing w:line="480" w:lineRule="auto"/>
        <w:ind w:firstLine="720"/>
        <w:jc w:val="both"/>
      </w:pPr>
      <w:r>
        <w:t>MongoDB, en cambio, no estaba saturado en esta misma ventana de concurrencia (10 clientes está por debajo de su punto de quiebre para queries complejas, que es 20). Por lo tanto, su resultado sí refleja el comportamiento genuino de escalado: la latencia p95 crece de 182 ms a 3.365 ms (factor 18,4×) frente a un crecimiento de datos de 300×, un escalado sub-lineal razonable para un aggregation con $match + $group sobre un rango de fechas que también crece junto con el subconjunto. Este es el único resultado de escalabilidad de esta prueba que puede interpretarse con confianza.</w:t>
      </w:r>
    </w:p>
    <w:p w:rsidR="00F77570" w:rsidRDefault="00F77570" w14:paraId="6BD18F9B" w14:textId="77777777">
      <w:pPr>
        <w:spacing w:line="480" w:lineRule="auto"/>
      </w:pPr>
    </w:p>
    <w:p w:rsidR="00F77570" w:rsidRDefault="00BA0A69" w14:paraId="792ED6E3" w14:textId="77777777">
      <w:pPr>
        <w:spacing w:line="480" w:lineRule="auto"/>
        <w:ind w:firstLine="720"/>
        <w:jc w:val="both"/>
      </w:pPr>
      <w:r>
        <w:rPr>
          <w:b/>
          <w:bCs/>
        </w:rPr>
        <w:t xml:space="preserve">Implicación práctica directa: </w:t>
      </w:r>
      <w:r>
        <w:t>el comportamiento "plano" de PostgreSQL en esta prueba NO debe usarse para argumentar que el motor relacional no necesita las vistas materializadas ya implementadas en el proyecto. Por el contrario, refuerza su necesidad: bajo concurrencia realista, un JOIN en vivo sobre datos crecientes saturará el pool de conexiones del free tier mucho antes de que el volumen de datos se convierta en el factor limitante —razón adicional, validada empíricamente, para depender de mv_sales_by_category_monthly y de la colección orders_summary pre-agregada en lugar de JOINs ad-hoc en producción.</w:t>
      </w:r>
    </w:p>
    <w:p w:rsidR="00F77570" w:rsidRDefault="00F77570" w14:paraId="238601FE" w14:textId="77777777">
      <w:pPr>
        <w:spacing w:line="480" w:lineRule="auto"/>
      </w:pPr>
    </w:p>
    <w:p w:rsidR="001D160C" w:rsidRDefault="001D160C" w14:paraId="29FFA392" w14:textId="77777777">
      <w:pPr>
        <w:spacing w:line="480" w:lineRule="auto"/>
      </w:pPr>
    </w:p>
    <w:p w:rsidR="001D160C" w:rsidRDefault="001D160C" w14:paraId="7067B70E" w14:textId="77777777">
      <w:pPr>
        <w:spacing w:line="480" w:lineRule="auto"/>
      </w:pPr>
    </w:p>
    <w:p w:rsidR="001D160C" w:rsidRDefault="001D160C" w14:paraId="07192BFC" w14:textId="77777777">
      <w:pPr>
        <w:spacing w:line="480" w:lineRule="auto"/>
      </w:pPr>
    </w:p>
    <w:p w:rsidR="00F77570" w:rsidRDefault="00BA0A69" w14:paraId="72205F96" w14:textId="77777777">
      <w:pPr>
        <w:pStyle w:val="heading20"/>
      </w:pPr>
      <w:r>
        <w:t>e.7 Tabla Comparativa Consolidada — Ratios de Rendimiento a Concurrencia=10</w:t>
      </w:r>
    </w:p>
    <w:p w:rsidR="00F77570" w:rsidRDefault="00F77570" w14:paraId="0F3CABC7" w14:textId="77777777">
      <w:pPr>
        <w:spacing w:line="480" w:lineRule="auto"/>
      </w:pPr>
    </w:p>
    <w:p w:rsidR="00F77570" w:rsidRDefault="00BA0A69" w14:paraId="08667196" w14:textId="77777777">
      <w:pPr>
        <w:spacing w:line="480" w:lineRule="auto"/>
        <w:ind w:firstLine="720"/>
        <w:jc w:val="both"/>
      </w:pPr>
      <w:r>
        <w:t>Se presenta el ratio comparativo directo, calculado a concurrencia=10 (nivel intermedio donde PostgreSQL ya muestra degradación significativa pero MongoDB permanece estable), únicamente como evidencia cruda del comportamiento bajo esta configuración de infraestructura específica —no como veredicto general sobre los motores.</w:t>
      </w:r>
    </w:p>
    <w:p w:rsidR="00F77570" w:rsidRDefault="00F77570" w14:paraId="5B08B5D1" w14:textId="77777777">
      <w:pPr>
        <w:spacing w:line="480" w:lineRule="auto"/>
      </w:pPr>
    </w:p>
    <w:p w:rsidR="00F77570" w:rsidRDefault="00BA0A69" w14:paraId="2028CF1D" w14:textId="77777777">
      <w:pPr>
        <w:spacing w:line="480" w:lineRule="auto"/>
        <w:jc w:val="center"/>
      </w:pPr>
      <w:r>
        <w:rPr>
          <w:b/>
          <w:bCs/>
        </w:rPr>
        <w:t>Tabla 7</w:t>
      </w:r>
    </w:p>
    <w:p w:rsidR="00F77570" w:rsidRDefault="00BA0A69" w14:paraId="3F0AF62B" w14:textId="77777777">
      <w:pPr>
        <w:spacing w:line="480" w:lineRule="auto"/>
        <w:jc w:val="center"/>
      </w:pPr>
      <w:r>
        <w:rPr>
          <w:i/>
          <w:iCs/>
        </w:rPr>
        <w:t>Ratios Comparativos a Concurrencia=10 (Evidencia Cruda, Infraestructura Free Tier)</w:t>
      </w:r>
    </w:p>
    <w:p w:rsidR="00F77570" w:rsidRDefault="00F77570" w14:paraId="16DEB4AB"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6"/>
        <w:gridCol w:w="2493"/>
        <w:gridCol w:w="2493"/>
        <w:gridCol w:w="2448"/>
      </w:tblGrid>
      <w:tr w:rsidR="00F77570" w14:paraId="4D4DF048"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0040C706" w14:textId="77777777">
            <w:pPr>
              <w:spacing w:line="230" w:lineRule="auto"/>
              <w:jc w:val="center"/>
            </w:pPr>
            <w:r>
              <w:rPr>
                <w:b/>
                <w:bCs/>
                <w:color w:val="FFFFFF"/>
                <w:sz w:val="19"/>
                <w:szCs w:val="19"/>
              </w:rPr>
              <w:t>Tipo query</w:t>
            </w:r>
          </w:p>
        </w:tc>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09BD70F0" w14:textId="77777777">
            <w:pPr>
              <w:spacing w:line="230" w:lineRule="auto"/>
              <w:jc w:val="center"/>
            </w:pPr>
            <w:r>
              <w:rPr>
                <w:b/>
                <w:bCs/>
                <w:color w:val="FFFFFF"/>
                <w:sz w:val="19"/>
                <w:szCs w:val="19"/>
              </w:rPr>
              <w:t>Ratio throughput (MongoDB / PG)</w:t>
            </w:r>
          </w:p>
        </w:tc>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ED84641" w14:textId="77777777">
            <w:pPr>
              <w:spacing w:line="230" w:lineRule="auto"/>
              <w:jc w:val="center"/>
            </w:pPr>
            <w:r>
              <w:rPr>
                <w:b/>
                <w:bCs/>
                <w:color w:val="FFFFFF"/>
                <w:sz w:val="19"/>
                <w:szCs w:val="19"/>
              </w:rPr>
              <w:t>Ratio latencia p95 (PG / MongoDB)</w:t>
            </w:r>
          </w:p>
        </w:tc>
        <w:tc>
          <w:tcPr>
            <w:tcW w:w="21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0F121E99" w14:textId="77777777">
            <w:pPr>
              <w:spacing w:line="230" w:lineRule="auto"/>
              <w:jc w:val="center"/>
            </w:pPr>
            <w:r>
              <w:rPr>
                <w:b/>
                <w:bCs/>
                <w:color w:val="FFFFFF"/>
                <w:sz w:val="19"/>
                <w:szCs w:val="19"/>
              </w:rPr>
              <w:t>Atribución principal</w:t>
            </w:r>
          </w:p>
        </w:tc>
      </w:tr>
      <w:tr w:rsidR="00F77570" w14:paraId="1693AC05"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D2A420B" w14:textId="77777777">
            <w:pPr>
              <w:spacing w:line="230" w:lineRule="auto"/>
              <w:jc w:val="center"/>
            </w:pPr>
            <w:r>
              <w:rPr>
                <w:color w:val="000000"/>
                <w:sz w:val="19"/>
                <w:szCs w:val="19"/>
              </w:rPr>
              <w:t>punto</w:t>
            </w:r>
          </w:p>
        </w:tc>
        <w:tc>
          <w:tcPr>
            <w:tcW w:w="2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A924922" w14:textId="77777777">
            <w:pPr>
              <w:spacing w:line="230" w:lineRule="auto"/>
              <w:jc w:val="center"/>
            </w:pPr>
            <w:r>
              <w:rPr>
                <w:color w:val="000000"/>
                <w:sz w:val="19"/>
                <w:szCs w:val="19"/>
              </w:rPr>
              <w:t>24,4×</w:t>
            </w:r>
          </w:p>
        </w:tc>
        <w:tc>
          <w:tcPr>
            <w:tcW w:w="2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669BB5CC" w14:textId="77777777">
            <w:pPr>
              <w:spacing w:line="230" w:lineRule="auto"/>
              <w:jc w:val="center"/>
            </w:pPr>
            <w:r>
              <w:rPr>
                <w:color w:val="000000"/>
                <w:sz w:val="19"/>
                <w:szCs w:val="19"/>
              </w:rPr>
              <w:t>57,3×</w:t>
            </w:r>
          </w:p>
        </w:tc>
        <w:tc>
          <w:tcPr>
            <w:tcW w:w="21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1FD4E38" w14:textId="77777777">
            <w:pPr>
              <w:spacing w:line="230" w:lineRule="auto"/>
            </w:pPr>
            <w:r>
              <w:rPr>
                <w:color w:val="000000"/>
                <w:sz w:val="19"/>
                <w:szCs w:val="19"/>
              </w:rPr>
              <w:t>Pooler Supabase saturado en c=10 (quiebre en c=5)</w:t>
            </w:r>
          </w:p>
        </w:tc>
      </w:tr>
      <w:tr w:rsidR="00F77570" w14:paraId="26066E85"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42392585" w14:textId="77777777">
            <w:pPr>
              <w:spacing w:line="230" w:lineRule="auto"/>
              <w:jc w:val="center"/>
            </w:pPr>
            <w:r>
              <w:rPr>
                <w:color w:val="000000"/>
                <w:sz w:val="19"/>
                <w:szCs w:val="19"/>
              </w:rPr>
              <w:t>compleja</w:t>
            </w:r>
          </w:p>
        </w:tc>
        <w:tc>
          <w:tcPr>
            <w:tcW w:w="22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1F266F96" w14:textId="77777777">
            <w:pPr>
              <w:spacing w:line="230" w:lineRule="auto"/>
              <w:jc w:val="center"/>
            </w:pPr>
            <w:r>
              <w:rPr>
                <w:color w:val="000000"/>
                <w:sz w:val="19"/>
                <w:szCs w:val="19"/>
              </w:rPr>
              <w:t>20,5×</w:t>
            </w:r>
          </w:p>
        </w:tc>
        <w:tc>
          <w:tcPr>
            <w:tcW w:w="22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21CBE93F" w14:textId="77777777">
            <w:pPr>
              <w:spacing w:line="230" w:lineRule="auto"/>
              <w:jc w:val="center"/>
            </w:pPr>
            <w:r>
              <w:rPr>
                <w:color w:val="000000"/>
                <w:sz w:val="19"/>
                <w:szCs w:val="19"/>
              </w:rPr>
              <w:t>21,2×</w:t>
            </w:r>
          </w:p>
        </w:tc>
        <w:tc>
          <w:tcPr>
            <w:tcW w:w="216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10A59610" w14:textId="77777777">
            <w:pPr>
              <w:spacing w:line="230" w:lineRule="auto"/>
            </w:pPr>
            <w:r>
              <w:rPr>
                <w:color w:val="000000"/>
                <w:sz w:val="19"/>
                <w:szCs w:val="19"/>
              </w:rPr>
              <w:t>Pooler Supabase saturado en c=10 (quiebre exacto en c=10)</w:t>
            </w:r>
          </w:p>
        </w:tc>
      </w:tr>
    </w:tbl>
    <w:p w:rsidR="00F77570" w:rsidRDefault="00F77570" w14:paraId="0AD9C6F4" w14:textId="77777777">
      <w:pPr>
        <w:spacing w:line="480" w:lineRule="auto"/>
      </w:pPr>
    </w:p>
    <w:p w:rsidR="00F77570" w:rsidRDefault="00BA0A69" w14:paraId="18DAE6D6" w14:textId="77777777">
      <w:pPr>
        <w:spacing w:line="480" w:lineRule="auto"/>
      </w:pPr>
      <w:r>
        <w:rPr>
          <w:i/>
          <w:iCs/>
        </w:rPr>
        <w:t xml:space="preserve">Nota. </w:t>
      </w:r>
      <w:r>
        <w:t>Estos ratios son reales y medidos, pero específicos a la configuración de free tier evaluada. La Sección f.3 desarrolla la reflexión crítica sobre su correcta interpretación.</w:t>
      </w:r>
    </w:p>
    <w:p w:rsidR="00F77570" w:rsidRDefault="00F77570" w14:paraId="4B1F511A" w14:textId="77777777">
      <w:pPr>
        <w:spacing w:line="480" w:lineRule="auto"/>
      </w:pPr>
    </w:p>
    <w:p w:rsidR="00F77570" w:rsidRDefault="00BA0A69" w14:paraId="16F8E483" w14:textId="77777777">
      <w:pPr>
        <w:pStyle w:val="heading20"/>
      </w:pPr>
      <w:r>
        <w:t>e.8 Análisis Comparativo PostgreSQL vs. MongoDB para Ecommify</w:t>
      </w:r>
    </w:p>
    <w:p w:rsidR="00F77570" w:rsidRDefault="00F77570" w14:paraId="65F9C3DC" w14:textId="77777777">
      <w:pPr>
        <w:spacing w:line="480" w:lineRule="auto"/>
      </w:pPr>
    </w:p>
    <w:p w:rsidR="00F77570" w:rsidRDefault="00BA0A69" w14:paraId="45D3BC27" w14:textId="77777777">
      <w:pPr>
        <w:spacing w:line="480" w:lineRule="auto"/>
        <w:ind w:firstLine="720"/>
        <w:jc w:val="both"/>
      </w:pPr>
      <w:r>
        <w:t>La tabla siguiente evalúa ambos motores en los aspectos relevantes para Ecommify, combinando evidencia empírica propia (cuando está disponible y no confundida por el cuello de botella de infraestructura) con propiedades arquitectónicas establecidas de cada motor. El "ganador" se determina en el contexto específico de este proyecto, no como afirmación general sobre PostgreSQL o MongoDB.</w:t>
      </w:r>
    </w:p>
    <w:p w:rsidR="00F77570" w:rsidRDefault="00F77570" w14:paraId="5023141B" w14:textId="77777777">
      <w:pPr>
        <w:spacing w:line="480" w:lineRule="auto"/>
      </w:pPr>
    </w:p>
    <w:p w:rsidR="00F77570" w:rsidRDefault="00BA0A69" w14:paraId="2A22EBF7" w14:textId="77777777">
      <w:pPr>
        <w:spacing w:line="480" w:lineRule="auto"/>
        <w:jc w:val="center"/>
      </w:pPr>
      <w:r>
        <w:rPr>
          <w:b/>
          <w:bCs/>
        </w:rPr>
        <w:t>Tabla 8</w:t>
      </w:r>
    </w:p>
    <w:p w:rsidR="00F77570" w:rsidRDefault="00BA0A69" w14:paraId="6B24F221" w14:textId="77777777">
      <w:pPr>
        <w:spacing w:line="480" w:lineRule="auto"/>
        <w:jc w:val="center"/>
      </w:pPr>
      <w:r>
        <w:rPr>
          <w:i/>
          <w:iCs/>
        </w:rPr>
        <w:t>Análisis Comparativo PostgreSQL vs. MongoDB en el Contexto de Ecommify</w:t>
      </w:r>
    </w:p>
    <w:p w:rsidR="00F77570" w:rsidRDefault="00F77570" w14:paraId="1F3B1409"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63"/>
        <w:gridCol w:w="1550"/>
        <w:gridCol w:w="5847"/>
      </w:tblGrid>
      <w:tr w:rsidR="00F77570" w14:paraId="3571D1BB"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032D5B2" w14:textId="77777777">
            <w:pPr>
              <w:spacing w:line="230" w:lineRule="auto"/>
              <w:jc w:val="center"/>
            </w:pPr>
            <w:r>
              <w:rPr>
                <w:b/>
                <w:bCs/>
                <w:color w:val="FFFFFF"/>
                <w:sz w:val="19"/>
                <w:szCs w:val="19"/>
              </w:rPr>
              <w:t>Aspecto</w:t>
            </w:r>
          </w:p>
        </w:tc>
        <w:tc>
          <w:tcPr>
            <w:tcW w:w="15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BBA727B" w14:textId="77777777">
            <w:pPr>
              <w:spacing w:line="230" w:lineRule="auto"/>
              <w:jc w:val="center"/>
            </w:pPr>
            <w:r>
              <w:rPr>
                <w:b/>
                <w:bCs/>
                <w:color w:val="FFFFFF"/>
                <w:sz w:val="19"/>
                <w:szCs w:val="19"/>
              </w:rPr>
              <w:t>Ganador</w:t>
            </w:r>
          </w:p>
        </w:tc>
        <w:tc>
          <w:tcPr>
            <w:tcW w:w="56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2F18F32" w14:textId="77777777">
            <w:pPr>
              <w:spacing w:line="230" w:lineRule="auto"/>
              <w:jc w:val="center"/>
            </w:pPr>
            <w:r>
              <w:rPr>
                <w:b/>
                <w:bCs/>
                <w:color w:val="FFFFFF"/>
                <w:sz w:val="19"/>
                <w:szCs w:val="19"/>
              </w:rPr>
              <w:t>Justificación con evidencia del proyecto</w:t>
            </w:r>
          </w:p>
        </w:tc>
      </w:tr>
      <w:tr w:rsidR="00F77570" w14:paraId="020103E9"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70F3899" w14:textId="77777777">
            <w:pPr>
              <w:spacing w:line="230" w:lineRule="auto"/>
            </w:pPr>
            <w:r>
              <w:rPr>
                <w:color w:val="000000"/>
                <w:sz w:val="19"/>
                <w:szCs w:val="19"/>
              </w:rPr>
              <w:t>Consultas transaccionales (ACID, integridad)</w:t>
            </w:r>
          </w:p>
        </w:tc>
        <w:tc>
          <w:tcPr>
            <w:tcW w:w="15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244725A" w14:textId="77777777">
            <w:pPr>
              <w:spacing w:line="230" w:lineRule="auto"/>
              <w:jc w:val="center"/>
            </w:pPr>
            <w:r>
              <w:rPr>
                <w:color w:val="000000"/>
                <w:sz w:val="19"/>
                <w:szCs w:val="19"/>
              </w:rPr>
              <w:t>PostgreSQL</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338E3F9" w14:textId="77777777">
            <w:pPr>
              <w:spacing w:line="230" w:lineRule="auto"/>
            </w:pPr>
            <w:r>
              <w:rPr>
                <w:color w:val="000000"/>
                <w:sz w:val="19"/>
                <w:szCs w:val="19"/>
              </w:rPr>
              <w:t>FK, CHECK, EXCLUDE constraints y particionamiento implementados garantizan integridad referencial verificable en el esquema. MongoDB requeriría validación 100% en aplicación.</w:t>
            </w:r>
          </w:p>
        </w:tc>
      </w:tr>
      <w:tr w:rsidR="00F77570" w14:paraId="3B978A10"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D6CF362" w14:textId="77777777">
            <w:pPr>
              <w:spacing w:line="230" w:lineRule="auto"/>
            </w:pPr>
            <w:r>
              <w:rPr>
                <w:color w:val="000000"/>
                <w:sz w:val="19"/>
                <w:szCs w:val="19"/>
              </w:rPr>
              <w:t>Consultas analíticas (dashboards, agregaciones)</w:t>
            </w:r>
          </w:p>
        </w:tc>
        <w:tc>
          <w:tcPr>
            <w:tcW w:w="15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5EBEE941" w14:textId="77777777">
            <w:pPr>
              <w:spacing w:line="230" w:lineRule="auto"/>
              <w:jc w:val="center"/>
            </w:pPr>
            <w:r>
              <w:rPr>
                <w:color w:val="000000"/>
                <w:sz w:val="19"/>
                <w:szCs w:val="19"/>
              </w:rPr>
              <w:t>MongoDB</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8AE9AB8" w14:textId="77777777">
            <w:pPr>
              <w:spacing w:line="230" w:lineRule="auto"/>
            </w:pPr>
            <w:r>
              <w:rPr>
                <w:color w:val="000000"/>
                <w:sz w:val="19"/>
                <w:szCs w:val="19"/>
              </w:rPr>
              <w:t>En la prueba de escalabilidad (Tabla 6/e.6), MongoDB mostró comportamiento de escalado medible y predecible; el resultado de PostgreSQL estuvo confundido por saturación del pool, impidiendo concluir lo mismo sobre PG en esta configuración.</w:t>
            </w:r>
          </w:p>
        </w:tc>
      </w:tr>
      <w:tr w:rsidR="00F77570" w14:paraId="3AADF70B"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E932F0B" w14:textId="77777777">
            <w:pPr>
              <w:spacing w:line="230" w:lineRule="auto"/>
            </w:pPr>
            <w:r>
              <w:rPr>
                <w:color w:val="000000"/>
                <w:sz w:val="19"/>
                <w:szCs w:val="19"/>
              </w:rPr>
              <w:t>Flexibilidad de esquema</w:t>
            </w:r>
          </w:p>
        </w:tc>
        <w:tc>
          <w:tcPr>
            <w:tcW w:w="15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2E6E8DE5" w14:textId="77777777">
            <w:pPr>
              <w:spacing w:line="230" w:lineRule="auto"/>
              <w:jc w:val="center"/>
            </w:pPr>
            <w:r>
              <w:rPr>
                <w:color w:val="000000"/>
                <w:sz w:val="19"/>
                <w:szCs w:val="19"/>
              </w:rPr>
              <w:t>MongoDB</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3B31E01" w14:textId="77777777">
            <w:pPr>
              <w:spacing w:line="230" w:lineRule="auto"/>
            </w:pPr>
            <w:r>
              <w:rPr>
                <w:color w:val="000000"/>
                <w:sz w:val="19"/>
                <w:szCs w:val="19"/>
              </w:rPr>
              <w:t>reviews con 41,1% de campos opcionales se modela sin columnas NULL masivas; products.specifications en JSONB logra lo mismo en PostgreSQL pero a costo de un tipo adicional no nativamente relacional.</w:t>
            </w:r>
          </w:p>
        </w:tc>
      </w:tr>
      <w:tr w:rsidR="00F77570" w14:paraId="4147CA71"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85DC1C9" w14:textId="77777777">
            <w:pPr>
              <w:spacing w:line="230" w:lineRule="auto"/>
            </w:pPr>
            <w:r>
              <w:rPr>
                <w:color w:val="000000"/>
                <w:sz w:val="19"/>
                <w:szCs w:val="19"/>
              </w:rPr>
              <w:t>Integridad referencial</w:t>
            </w:r>
          </w:p>
        </w:tc>
        <w:tc>
          <w:tcPr>
            <w:tcW w:w="15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A5EACC3" w14:textId="77777777">
            <w:pPr>
              <w:spacing w:line="230" w:lineRule="auto"/>
              <w:jc w:val="center"/>
            </w:pPr>
            <w:r>
              <w:rPr>
                <w:color w:val="000000"/>
                <w:sz w:val="19"/>
                <w:szCs w:val="19"/>
              </w:rPr>
              <w:t>PostgreSQL</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5234006" w14:textId="77777777">
            <w:pPr>
              <w:spacing w:line="230" w:lineRule="auto"/>
            </w:pPr>
            <w:r>
              <w:rPr>
                <w:color w:val="000000"/>
                <w:sz w:val="19"/>
                <w:szCs w:val="19"/>
              </w:rPr>
              <w:t>FKs nativas entre orders→customers, order_items→products/sellers. MongoDB usa referencias lógicas sin garantía a nivel de motor (mitigado con ON DELETE RESTRICT del lado PG).</w:t>
            </w:r>
          </w:p>
        </w:tc>
      </w:tr>
      <w:tr w:rsidR="00F77570" w14:paraId="486A8BBA"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03954CC" w14:textId="77777777">
            <w:pPr>
              <w:spacing w:line="230" w:lineRule="auto"/>
            </w:pPr>
            <w:r>
              <w:rPr>
                <w:color w:val="000000"/>
                <w:sz w:val="19"/>
                <w:szCs w:val="19"/>
              </w:rPr>
              <w:t>Tolerancia a concurrencia (medida en este free tier)</w:t>
            </w:r>
          </w:p>
        </w:tc>
        <w:tc>
          <w:tcPr>
            <w:tcW w:w="15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0F3A8EFF" w14:textId="77777777">
            <w:pPr>
              <w:spacing w:line="230" w:lineRule="auto"/>
              <w:jc w:val="center"/>
            </w:pPr>
            <w:r>
              <w:rPr>
                <w:color w:val="000000"/>
                <w:sz w:val="19"/>
                <w:szCs w:val="19"/>
              </w:rPr>
              <w:t>MongoDB</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0774917" w14:textId="77777777">
            <w:pPr>
              <w:spacing w:line="230" w:lineRule="auto"/>
            </w:pPr>
            <w:r>
              <w:rPr>
                <w:color w:val="000000"/>
                <w:sz w:val="19"/>
                <w:szCs w:val="19"/>
              </w:rPr>
              <w:t>Empíricamente medido: 0 errores hasta c=30 en MongoDB vs. punto de quiebre en c=5-10 en PostgreSQL bajo Supabase Free. Atribuible a configuración de pooler, no a límite arquitectónico de PG (ver e.4).</w:t>
            </w:r>
          </w:p>
        </w:tc>
      </w:tr>
      <w:tr w:rsidR="00F77570" w14:paraId="350A69D1"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7FCA36B" w14:textId="77777777">
            <w:pPr>
              <w:spacing w:line="230" w:lineRule="auto"/>
            </w:pPr>
            <w:r>
              <w:rPr>
                <w:color w:val="000000"/>
                <w:sz w:val="19"/>
                <w:szCs w:val="19"/>
              </w:rPr>
              <w:t>Capacidades geoespaciales</w:t>
            </w:r>
          </w:p>
        </w:tc>
        <w:tc>
          <w:tcPr>
            <w:tcW w:w="15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72BBA96" w14:textId="77777777">
            <w:pPr>
              <w:spacing w:line="230" w:lineRule="auto"/>
              <w:jc w:val="center"/>
            </w:pPr>
            <w:r>
              <w:rPr>
                <w:color w:val="000000"/>
                <w:sz w:val="19"/>
                <w:szCs w:val="19"/>
              </w:rPr>
              <w:t>PostgreSQL</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8C07BFA" w14:textId="77777777">
            <w:pPr>
              <w:spacing w:line="230" w:lineRule="auto"/>
            </w:pPr>
            <w:r>
              <w:rPr>
                <w:color w:val="000000"/>
                <w:sz w:val="19"/>
                <w:szCs w:val="19"/>
              </w:rPr>
              <w:t>PostGIS con tipos GEOGRAPHY, ST_Distance, ST_DWithin e índices GIST ofrece mayor madurez que el soporte geoespacial nativo de MongoDB para el caso de cálculo de envíos.</w:t>
            </w:r>
          </w:p>
        </w:tc>
      </w:tr>
      <w:tr w:rsidR="00F77570" w14:paraId="68B9C4F3"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EED7A74" w14:textId="77777777">
            <w:pPr>
              <w:spacing w:line="230" w:lineRule="auto"/>
            </w:pPr>
            <w:r>
              <w:rPr>
                <w:color w:val="000000"/>
                <w:sz w:val="19"/>
                <w:szCs w:val="19"/>
              </w:rPr>
              <w:t>Búsqueda de texto tolerante a errores</w:t>
            </w:r>
          </w:p>
        </w:tc>
        <w:tc>
          <w:tcPr>
            <w:tcW w:w="1500" w:type="dxa"/>
            <w:tcBorders>
              <w:top w:val="single" w:color="1F3864" w:sz="4" w:space="0"/>
              <w:left w:val="single" w:color="1F3864" w:sz="4" w:space="0"/>
              <w:bottom w:val="single" w:color="1F3864" w:sz="4" w:space="0"/>
              <w:right w:val="single" w:color="1F3864" w:sz="4" w:space="0"/>
            </w:tcBorders>
            <w:shd w:val="clear" w:color="auto" w:fill="FFF2CC"/>
            <w:tcMar>
              <w:top w:w="60" w:type="dxa"/>
              <w:left w:w="100" w:type="dxa"/>
              <w:bottom w:w="60" w:type="dxa"/>
              <w:right w:w="100" w:type="dxa"/>
            </w:tcMar>
          </w:tcPr>
          <w:p w:rsidR="00F77570" w:rsidRDefault="00BA0A69" w14:paraId="04F7BECA" w14:textId="77777777">
            <w:pPr>
              <w:spacing w:line="230" w:lineRule="auto"/>
              <w:jc w:val="center"/>
            </w:pPr>
            <w:r>
              <w:rPr>
                <w:color w:val="000000"/>
                <w:sz w:val="19"/>
                <w:szCs w:val="19"/>
              </w:rPr>
              <w:t>Empate</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F307EA5" w14:textId="77777777">
            <w:pPr>
              <w:spacing w:line="230" w:lineRule="auto"/>
            </w:pPr>
            <w:r>
              <w:rPr>
                <w:color w:val="000000"/>
                <w:sz w:val="19"/>
                <w:szCs w:val="19"/>
              </w:rPr>
              <w:t>pg_trgm (PostgreSQL) y text index (MongoDB) cubren necesidades equivalentes para Ecommify; ninguno demostró ventaja decisiva en las pruebas realizadas.</w:t>
            </w:r>
          </w:p>
        </w:tc>
      </w:tr>
      <w:tr w:rsidR="00F77570" w14:paraId="6B28849C" w14:textId="77777777">
        <w:tblPrEx>
          <w:tblCellMar>
            <w:top w:w="0" w:type="dxa"/>
            <w:bottom w:w="0" w:type="dxa"/>
          </w:tblCellMar>
        </w:tblPrEx>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37B5075" w14:textId="77777777">
            <w:pPr>
              <w:spacing w:line="230" w:lineRule="auto"/>
            </w:pPr>
            <w:r>
              <w:rPr>
                <w:color w:val="000000"/>
                <w:sz w:val="19"/>
                <w:szCs w:val="19"/>
              </w:rPr>
              <w:t>Costo operativo en free tier</w:t>
            </w:r>
          </w:p>
        </w:tc>
        <w:tc>
          <w:tcPr>
            <w:tcW w:w="15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55ECE863" w14:textId="77777777">
            <w:pPr>
              <w:spacing w:line="230" w:lineRule="auto"/>
              <w:jc w:val="center"/>
            </w:pPr>
            <w:r>
              <w:rPr>
                <w:color w:val="000000"/>
                <w:sz w:val="19"/>
                <w:szCs w:val="19"/>
              </w:rPr>
              <w:t>MongoDB</w:t>
            </w:r>
          </w:p>
        </w:tc>
        <w:tc>
          <w:tcPr>
            <w:tcW w:w="56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4EBFED6" w14:textId="77777777">
            <w:pPr>
              <w:spacing w:line="230" w:lineRule="auto"/>
            </w:pPr>
            <w:r>
              <w:rPr>
                <w:color w:val="000000"/>
                <w:sz w:val="19"/>
                <w:szCs w:val="19"/>
              </w:rPr>
              <w:t>Atlas M0 tolera mayor concurrencia sin upgrade; Supabase Free requeriría plan Pro para un pooler con mayor capacidad antes de soportar la misma carga (ver Sección g).</w:t>
            </w:r>
          </w:p>
        </w:tc>
      </w:tr>
    </w:tbl>
    <w:p w:rsidR="00F77570" w:rsidRDefault="00F77570" w14:paraId="562C75D1" w14:textId="77777777">
      <w:pPr>
        <w:spacing w:line="480" w:lineRule="auto"/>
      </w:pPr>
    </w:p>
    <w:p w:rsidR="00F77570" w:rsidRDefault="00BA0A69" w14:paraId="0E385D61" w14:textId="77777777">
      <w:pPr>
        <w:spacing w:line="480" w:lineRule="auto"/>
      </w:pPr>
      <w:r>
        <w:rPr>
          <w:i/>
          <w:iCs/>
        </w:rPr>
        <w:t xml:space="preserve">Nota. </w:t>
      </w:r>
      <w:r>
        <w:t>Azul = gana PostgreSQL. Verde = gana MongoDB. Amarillo = empate. Elaboración propia con evidencia del proyecto Ecommify.</w:t>
      </w:r>
    </w:p>
    <w:p w:rsidR="00F77570" w:rsidRDefault="00F77570" w14:paraId="664355AD" w14:textId="77777777">
      <w:pPr>
        <w:spacing w:line="480" w:lineRule="auto"/>
      </w:pPr>
    </w:p>
    <w:p w:rsidR="0079306A" w:rsidRDefault="0079306A" w14:paraId="524B1161" w14:textId="77777777">
      <w:pPr>
        <w:spacing w:line="480" w:lineRule="auto"/>
      </w:pPr>
    </w:p>
    <w:p w:rsidR="00F77570" w:rsidRDefault="00BA0A69" w14:paraId="6F52217A" w14:textId="77777777">
      <w:pPr>
        <w:pStyle w:val="heading20"/>
      </w:pPr>
      <w:r>
        <w:t>e.9 Identificación de Cuellos de Botella — Resumen Consolidado</w:t>
      </w:r>
    </w:p>
    <w:p w:rsidR="00F77570" w:rsidRDefault="00F77570" w14:paraId="1A965116" w14:textId="77777777">
      <w:pPr>
        <w:spacing w:line="480" w:lineRule="auto"/>
      </w:pPr>
    </w:p>
    <w:p w:rsidR="00F77570" w:rsidRDefault="00BA0A69" w14:paraId="13A3AD53" w14:textId="77777777">
      <w:pPr>
        <w:pStyle w:val="ListParagraph"/>
        <w:numPr>
          <w:ilvl w:val="0"/>
          <w:numId w:val="3"/>
        </w:numPr>
      </w:pPr>
      <w:r>
        <w:rPr>
          <w:b/>
          <w:bCs/>
        </w:rPr>
        <w:t xml:space="preserve">Connection pooler de Supabase Free (crítico): </w:t>
      </w:r>
      <w:r>
        <w:t>límite de admisión efectivo cercano a 10-15 conexiones simultáneas en modo Session; causa principal de toda la degradación observada en PostgreSQL.</w:t>
      </w:r>
    </w:p>
    <w:p w:rsidR="00F77570" w:rsidRDefault="00BA0A69" w14:paraId="65BA2A6E" w14:textId="77777777">
      <w:pPr>
        <w:pStyle w:val="ListParagraph"/>
        <w:numPr>
          <w:ilvl w:val="0"/>
          <w:numId w:val="3"/>
        </w:numPr>
      </w:pPr>
      <w:r>
        <w:rPr>
          <w:b/>
          <w:bCs/>
        </w:rPr>
        <w:t xml:space="preserve">Ausencia de partition pruning en lookups de punto: </w:t>
      </w:r>
      <w:r>
        <w:t>queries por order_id sin incluir order_purchase_timestamp escanean las 4 particiones; contribuye al baseline ya elevado (521 ms) incluso sin concurrencia.</w:t>
      </w:r>
    </w:p>
    <w:p w:rsidR="00F77570" w:rsidRDefault="00BA0A69" w14:paraId="42F2D1EF" w14:textId="77777777">
      <w:pPr>
        <w:pStyle w:val="ListParagraph"/>
        <w:numPr>
          <w:ilvl w:val="0"/>
          <w:numId w:val="3"/>
        </w:numPr>
      </w:pPr>
      <w:r>
        <w:rPr>
          <w:b/>
          <w:bCs/>
        </w:rPr>
        <w:t xml:space="preserve">Burst CPU compartida en ambos free tiers: </w:t>
      </w:r>
      <w:r>
        <w:t>ni Supabase ni Atlas M0 garantizan CPU dedicada; el baseline de 521 ms para un lookup indexado simple en PG sugiere contención de recursos compartidos además de latencia de red.</w:t>
      </w:r>
    </w:p>
    <w:p w:rsidR="00F77570" w:rsidRDefault="00BA0A69" w14:paraId="47266211" w14:textId="77777777">
      <w:pPr>
        <w:pStyle w:val="ListParagraph"/>
        <w:numPr>
          <w:ilvl w:val="0"/>
          <w:numId w:val="3"/>
        </w:numPr>
      </w:pPr>
      <w:r>
        <w:rPr>
          <w:b/>
          <w:bCs/>
        </w:rPr>
        <w:t xml:space="preserve">MongoDB sin sharding en M0: </w:t>
      </w:r>
      <w:r>
        <w:t>el aggregation de escalabilidad siempre escanea la colección completa filtrando por índice; a partir de cierto volumen (no alcanzado en este dataset) este patrón también degradaría sin la introducción de sharding M10+.</w:t>
      </w:r>
    </w:p>
    <w:p w:rsidR="00F77570" w:rsidRDefault="00BA0A69" w14:paraId="7DF4E37C" w14:textId="77777777">
      <w:r>
        <w:br w:type="page"/>
      </w:r>
    </w:p>
    <w:p w:rsidR="00F77570" w:rsidRDefault="00BA0A69" w14:paraId="15239D24" w14:textId="77777777">
      <w:pPr>
        <w:pStyle w:val="heading10"/>
      </w:pPr>
      <w:r>
        <w:t>f. Análisis Arquitectónico Crítico</w:t>
      </w:r>
    </w:p>
    <w:p w:rsidR="00F77570" w:rsidRDefault="00F77570" w14:paraId="44FB30F8" w14:textId="77777777">
      <w:pPr>
        <w:spacing w:line="480" w:lineRule="auto"/>
      </w:pPr>
    </w:p>
    <w:p w:rsidR="00F77570" w:rsidRDefault="00BA0A69" w14:paraId="53DC036C" w14:textId="77777777">
      <w:pPr>
        <w:pStyle w:val="heading20"/>
      </w:pPr>
      <w:r>
        <w:t>f.1 Trade-offs del Teorema CAP por Módulo</w:t>
      </w:r>
    </w:p>
    <w:p w:rsidR="00F77570" w:rsidRDefault="00F77570" w14:paraId="1DA6542E" w14:textId="77777777">
      <w:pPr>
        <w:spacing w:line="480" w:lineRule="auto"/>
      </w:pPr>
    </w:p>
    <w:p w:rsidR="00F77570" w:rsidRDefault="00BA0A69" w14:paraId="7C861563" w14:textId="77777777">
      <w:pPr>
        <w:spacing w:line="480" w:lineRule="auto"/>
        <w:ind w:firstLine="720"/>
        <w:jc w:val="both"/>
      </w:pPr>
      <w:r>
        <w:t>Cada módulo de Ecommify prioriza explícitamente dos de las tres garantías del Teorema CAP (Brewer, 2000; Gilbert &amp; Lynch, 2002), dado que la tolerancia a particiones (P) es inevitable en cualquier sistema distribuido real.</w:t>
      </w:r>
    </w:p>
    <w:p w:rsidR="00F77570" w:rsidRDefault="00F77570" w14:paraId="3041E394" w14:textId="77777777">
      <w:pPr>
        <w:spacing w:line="480" w:lineRule="auto"/>
      </w:pPr>
    </w:p>
    <w:p w:rsidR="00F77570" w:rsidRDefault="00BA0A69" w14:paraId="51201EBB" w14:textId="77777777">
      <w:pPr>
        <w:spacing w:line="480" w:lineRule="auto"/>
        <w:jc w:val="center"/>
      </w:pPr>
      <w:r>
        <w:rPr>
          <w:b/>
          <w:bCs/>
        </w:rPr>
        <w:t>Tabla 9</w:t>
      </w:r>
    </w:p>
    <w:p w:rsidR="00F77570" w:rsidRDefault="00BA0A69" w14:paraId="33B4F550" w14:textId="77777777">
      <w:pPr>
        <w:spacing w:line="480" w:lineRule="auto"/>
        <w:jc w:val="center"/>
      </w:pPr>
      <w:r>
        <w:rPr>
          <w:i/>
          <w:iCs/>
        </w:rPr>
        <w:t>Trade-offs CAP por Módulo con Escenario de Falla Asociado</w:t>
      </w:r>
    </w:p>
    <w:p w:rsidR="00F77570" w:rsidRDefault="00F77570" w14:paraId="722B00AE"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3"/>
        <w:gridCol w:w="1136"/>
        <w:gridCol w:w="3058"/>
        <w:gridCol w:w="3513"/>
      </w:tblGrid>
      <w:tr w:rsidR="00F77570" w14:paraId="60F4E1BF"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D19E584" w14:textId="77777777">
            <w:pPr>
              <w:spacing w:line="230" w:lineRule="auto"/>
              <w:jc w:val="center"/>
            </w:pPr>
            <w:r>
              <w:rPr>
                <w:b/>
                <w:bCs/>
                <w:color w:val="FFFFFF"/>
                <w:sz w:val="19"/>
                <w:szCs w:val="19"/>
              </w:rPr>
              <w:t>Módulo</w:t>
            </w:r>
          </w:p>
        </w:tc>
        <w:tc>
          <w:tcPr>
            <w:tcW w:w="11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A41CD53" w14:textId="77777777">
            <w:pPr>
              <w:spacing w:line="230" w:lineRule="auto"/>
              <w:jc w:val="center"/>
            </w:pPr>
            <w:r>
              <w:rPr>
                <w:b/>
                <w:bCs/>
                <w:color w:val="FFFFFF"/>
                <w:sz w:val="19"/>
                <w:szCs w:val="19"/>
              </w:rPr>
              <w:t>CAP</w:t>
            </w:r>
          </w:p>
        </w:tc>
        <w:tc>
          <w:tcPr>
            <w:tcW w:w="29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35D3A25B" w14:textId="77777777">
            <w:pPr>
              <w:spacing w:line="230" w:lineRule="auto"/>
              <w:jc w:val="center"/>
            </w:pPr>
            <w:r>
              <w:rPr>
                <w:b/>
                <w:bCs/>
                <w:color w:val="FFFFFF"/>
                <w:sz w:val="19"/>
                <w:szCs w:val="19"/>
              </w:rPr>
              <w:t>Trade-off aceptado</w:t>
            </w:r>
          </w:p>
        </w:tc>
        <w:tc>
          <w:tcPr>
            <w:tcW w:w="34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508DB5D" w14:textId="77777777">
            <w:pPr>
              <w:spacing w:line="230" w:lineRule="auto"/>
              <w:jc w:val="center"/>
            </w:pPr>
            <w:r>
              <w:rPr>
                <w:b/>
                <w:bCs/>
                <w:color w:val="FFFFFF"/>
                <w:sz w:val="19"/>
                <w:szCs w:val="19"/>
              </w:rPr>
              <w:t>Comportamiento ante partición de red</w:t>
            </w:r>
          </w:p>
        </w:tc>
      </w:tr>
      <w:tr w:rsidR="00F77570" w14:paraId="25717A38"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F536A7D" w14:textId="77777777">
            <w:pPr>
              <w:spacing w:line="230" w:lineRule="auto"/>
              <w:jc w:val="center"/>
            </w:pPr>
            <w:r>
              <w:rPr>
                <w:color w:val="000000"/>
                <w:sz w:val="19"/>
                <w:szCs w:val="19"/>
              </w:rPr>
              <w:t>orders / payments</w:t>
            </w:r>
          </w:p>
        </w:tc>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4AE3025" w14:textId="77777777">
            <w:pPr>
              <w:spacing w:line="230" w:lineRule="auto"/>
              <w:jc w:val="center"/>
            </w:pPr>
            <w:r>
              <w:rPr>
                <w:color w:val="000000"/>
                <w:sz w:val="19"/>
                <w:szCs w:val="19"/>
              </w:rPr>
              <w:t>CP</w:t>
            </w:r>
          </w:p>
        </w:tc>
        <w:tc>
          <w:tcPr>
            <w:tcW w:w="29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77A5E29" w14:textId="77777777">
            <w:pPr>
              <w:spacing w:line="230" w:lineRule="auto"/>
            </w:pPr>
            <w:r>
              <w:rPr>
                <w:color w:val="000000"/>
                <w:sz w:val="19"/>
                <w:szCs w:val="19"/>
              </w:rPr>
              <w:t>Sacrifica disponibilidad de escritura durante failover (~30s estimados) a cambio de cero pérdida de transacciones.</w:t>
            </w:r>
          </w:p>
        </w:tc>
        <w:tc>
          <w:tcPr>
            <w:tcW w:w="3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4C94DFC" w14:textId="77777777">
            <w:pPr>
              <w:spacing w:line="230" w:lineRule="auto"/>
            </w:pPr>
            <w:r>
              <w:rPr>
                <w:color w:val="000000"/>
                <w:sz w:val="19"/>
                <w:szCs w:val="19"/>
              </w:rPr>
              <w:t>Si el primario PG queda aislado, las escrituras se bloquean hasta que un nuevo primario sea electo por quorum (2 de 3 nodos). Ninguna orden se duplica ni se pierde.</w:t>
            </w:r>
          </w:p>
        </w:tc>
      </w:tr>
      <w:tr w:rsidR="00F77570" w14:paraId="6BA67CF5"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A0C454C" w14:textId="77777777">
            <w:pPr>
              <w:spacing w:line="230" w:lineRule="auto"/>
              <w:jc w:val="center"/>
            </w:pPr>
            <w:r>
              <w:rPr>
                <w:color w:val="000000"/>
                <w:sz w:val="19"/>
                <w:szCs w:val="19"/>
              </w:rPr>
              <w:t>customers / sellers</w:t>
            </w:r>
          </w:p>
        </w:tc>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71AD6B3F" w14:textId="77777777">
            <w:pPr>
              <w:spacing w:line="230" w:lineRule="auto"/>
              <w:jc w:val="center"/>
            </w:pPr>
            <w:r>
              <w:rPr>
                <w:color w:val="000000"/>
                <w:sz w:val="19"/>
                <w:szCs w:val="19"/>
              </w:rPr>
              <w:t>CP</w:t>
            </w:r>
          </w:p>
        </w:tc>
        <w:tc>
          <w:tcPr>
            <w:tcW w:w="29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AF6504B" w14:textId="77777777">
            <w:pPr>
              <w:spacing w:line="230" w:lineRule="auto"/>
            </w:pPr>
            <w:r>
              <w:rPr>
                <w:color w:val="000000"/>
                <w:sz w:val="19"/>
                <w:szCs w:val="19"/>
              </w:rPr>
              <w:t>Misma garantía que orders; identidad y datos de contacto no toleran inconsistencia ni duplicación de cuenta.</w:t>
            </w:r>
          </w:p>
        </w:tc>
        <w:tc>
          <w:tcPr>
            <w:tcW w:w="34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88A62DB" w14:textId="77777777">
            <w:pPr>
              <w:spacing w:line="230" w:lineRule="auto"/>
            </w:pPr>
            <w:r>
              <w:rPr>
                <w:color w:val="000000"/>
                <w:sz w:val="19"/>
                <w:szCs w:val="19"/>
              </w:rPr>
              <w:t>Igual al anterior: indisponible brevemente, nunca inconsistente.</w:t>
            </w:r>
          </w:p>
        </w:tc>
      </w:tr>
      <w:tr w:rsidR="00F77570" w14:paraId="209FA94D"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BC427B2" w14:textId="77777777">
            <w:pPr>
              <w:spacing w:line="230" w:lineRule="auto"/>
              <w:jc w:val="center"/>
            </w:pPr>
            <w:r>
              <w:rPr>
                <w:color w:val="000000"/>
                <w:sz w:val="19"/>
                <w:szCs w:val="19"/>
              </w:rPr>
              <w:t>reviews</w:t>
            </w:r>
          </w:p>
        </w:tc>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6351070" w14:textId="77777777">
            <w:pPr>
              <w:spacing w:line="230" w:lineRule="auto"/>
              <w:jc w:val="center"/>
            </w:pPr>
            <w:r>
              <w:rPr>
                <w:color w:val="000000"/>
                <w:sz w:val="19"/>
                <w:szCs w:val="19"/>
              </w:rPr>
              <w:t>AP</w:t>
            </w:r>
          </w:p>
        </w:tc>
        <w:tc>
          <w:tcPr>
            <w:tcW w:w="29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D979983" w14:textId="77777777">
            <w:pPr>
              <w:spacing w:line="230" w:lineRule="auto"/>
            </w:pPr>
            <w:r>
              <w:rPr>
                <w:color w:val="000000"/>
                <w:sz w:val="19"/>
                <w:szCs w:val="19"/>
              </w:rPr>
              <w:t>Acepta lectura de una reseña con replication lag de segundos a cambio de disponibilidad continua de escritura.</w:t>
            </w:r>
          </w:p>
        </w:tc>
        <w:tc>
          <w:tcPr>
            <w:tcW w:w="3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3AD8D66" w14:textId="77777777">
            <w:pPr>
              <w:spacing w:line="230" w:lineRule="auto"/>
            </w:pPr>
            <w:r>
              <w:rPr>
                <w:color w:val="000000"/>
                <w:sz w:val="19"/>
                <w:szCs w:val="19"/>
              </w:rPr>
              <w:t>Ante partición, las réplicas secundarias siguen aceptando lecturas (posiblemente obsoletas); las escrituras nuevas pueden perderse si el primario queda en minoría — riesgo aceptado por bajo impacto de negocio.</w:t>
            </w:r>
          </w:p>
        </w:tc>
      </w:tr>
      <w:tr w:rsidR="00F77570" w14:paraId="6689547C"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4F9A7C9" w14:textId="77777777">
            <w:pPr>
              <w:spacing w:line="230" w:lineRule="auto"/>
              <w:jc w:val="center"/>
            </w:pPr>
            <w:r>
              <w:rPr>
                <w:color w:val="000000"/>
                <w:sz w:val="19"/>
                <w:szCs w:val="19"/>
              </w:rPr>
              <w:t>geolocation</w:t>
            </w:r>
          </w:p>
        </w:tc>
        <w:tc>
          <w:tcPr>
            <w:tcW w:w="11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BE66329" w14:textId="77777777">
            <w:pPr>
              <w:spacing w:line="230" w:lineRule="auto"/>
              <w:jc w:val="center"/>
            </w:pPr>
            <w:r>
              <w:rPr>
                <w:color w:val="000000"/>
                <w:sz w:val="19"/>
                <w:szCs w:val="19"/>
              </w:rPr>
              <w:t>AP</w:t>
            </w:r>
          </w:p>
        </w:tc>
        <w:tc>
          <w:tcPr>
            <w:tcW w:w="29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BB9AE8F" w14:textId="77777777">
            <w:pPr>
              <w:spacing w:line="230" w:lineRule="auto"/>
            </w:pPr>
            <w:r>
              <w:rPr>
                <w:color w:val="000000"/>
                <w:sz w:val="19"/>
                <w:szCs w:val="19"/>
              </w:rPr>
              <w:t>Datos de referencia geográfica, modificados rara vez; disponibilidad de lectura es la prioridad absoluta.</w:t>
            </w:r>
          </w:p>
        </w:tc>
        <w:tc>
          <w:tcPr>
            <w:tcW w:w="34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5E0973FC" w14:textId="77777777">
            <w:pPr>
              <w:spacing w:line="230" w:lineRule="auto"/>
            </w:pPr>
            <w:r>
              <w:rPr>
                <w:color w:val="000000"/>
                <w:sz w:val="19"/>
                <w:szCs w:val="19"/>
              </w:rPr>
              <w:t>Tolera lecturas inconsistentes indefinidamente sin impacto perceptible; es un catálogo de referencia, no transaccional.</w:t>
            </w:r>
          </w:p>
        </w:tc>
      </w:tr>
      <w:tr w:rsidR="00F77570" w14:paraId="2A15F8A3" w14:textId="77777777">
        <w:tblPrEx>
          <w:tblCellMar>
            <w:top w:w="0" w:type="dxa"/>
            <w:bottom w:w="0" w:type="dxa"/>
          </w:tblCellMar>
        </w:tblPrEx>
        <w:tc>
          <w:tcPr>
            <w:tcW w:w="16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BDEB772" w14:textId="77777777">
            <w:pPr>
              <w:spacing w:line="230" w:lineRule="auto"/>
              <w:jc w:val="center"/>
            </w:pPr>
            <w:r>
              <w:rPr>
                <w:color w:val="000000"/>
                <w:sz w:val="19"/>
                <w:szCs w:val="19"/>
              </w:rPr>
              <w:t>orders_summary</w:t>
            </w:r>
          </w:p>
        </w:tc>
        <w:tc>
          <w:tcPr>
            <w:tcW w:w="11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8403963" w14:textId="77777777">
            <w:pPr>
              <w:spacing w:line="230" w:lineRule="auto"/>
              <w:jc w:val="center"/>
            </w:pPr>
            <w:r>
              <w:rPr>
                <w:color w:val="000000"/>
                <w:sz w:val="19"/>
                <w:szCs w:val="19"/>
              </w:rPr>
              <w:t>AP</w:t>
            </w:r>
          </w:p>
        </w:tc>
        <w:tc>
          <w:tcPr>
            <w:tcW w:w="29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ECD0CFF" w14:textId="77777777">
            <w:pPr>
              <w:spacing w:line="230" w:lineRule="auto"/>
            </w:pPr>
            <w:r>
              <w:rPr>
                <w:color w:val="000000"/>
                <w:sz w:val="19"/>
                <w:szCs w:val="19"/>
              </w:rPr>
              <w:t>Acepta hasta 1 hora de desactualización (ventana de ETL) a cambio de disponibilidad de dashboards sin depender del estado de PostgreSQL.</w:t>
            </w:r>
          </w:p>
        </w:tc>
        <w:tc>
          <w:tcPr>
            <w:tcW w:w="3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6BC0C3A" w14:textId="77777777">
            <w:pPr>
              <w:spacing w:line="230" w:lineRule="auto"/>
            </w:pPr>
            <w:r>
              <w:rPr>
                <w:color w:val="000000"/>
                <w:sz w:val="19"/>
                <w:szCs w:val="19"/>
              </w:rPr>
              <w:t>Si PostgreSQL queda particionado, los dashboards siguen funcionando con el último snapshot ETL — exactamente el comportamiento deseado para un módulo de solo lectura analítica.</w:t>
            </w:r>
          </w:p>
        </w:tc>
      </w:tr>
    </w:tbl>
    <w:p w:rsidR="00F77570" w:rsidRDefault="00F77570" w14:paraId="42C6D796" w14:textId="77777777">
      <w:pPr>
        <w:spacing w:line="480" w:lineRule="auto"/>
      </w:pPr>
    </w:p>
    <w:p w:rsidR="00F77570" w:rsidRDefault="00BA0A69" w14:paraId="0623678C" w14:textId="77777777">
      <w:pPr>
        <w:pStyle w:val="heading20"/>
      </w:pPr>
      <w:r>
        <w:t>f.2 Distinción Crítica: Partición de Red (CAP) vs. Disponibilidad Bajo Carga (Hallazgo Empírico)</w:t>
      </w:r>
    </w:p>
    <w:p w:rsidR="00F77570" w:rsidRDefault="00F77570" w14:paraId="6E1831B3" w14:textId="77777777">
      <w:pPr>
        <w:spacing w:line="480" w:lineRule="auto"/>
      </w:pPr>
    </w:p>
    <w:p w:rsidR="00F77570" w:rsidRDefault="00BA0A69" w14:paraId="3ECCDB0F" w14:textId="77777777">
      <w:pPr>
        <w:spacing w:line="480" w:lineRule="auto"/>
        <w:ind w:firstLine="720"/>
        <w:jc w:val="both"/>
      </w:pPr>
      <w:r>
        <w:t>Es importante no conflacionar dos conceptos relacionados pero distintos. El Teorema CAP describe el comportamiento de un sistema distribuido ante una partición de red entre sus propios nodos internos (p. ej., el primario de un replica set aislado de sus secundarios). La degradación observada en la Sección e —saturación del connection pooler bajo concurrencia de clientes— es un fenómeno distinto: disponibilidad bajo carga (load-induced unavailability), donde el sistema no está particionado internamente, sino que su capa de admisión de conexiones rechaza o demora solicitudes entrantes por exceder su capacidad configurada.</w:t>
      </w:r>
    </w:p>
    <w:p w:rsidR="00F77570" w:rsidRDefault="00F77570" w14:paraId="54E11D2A" w14:textId="77777777">
      <w:pPr>
        <w:spacing w:line="480" w:lineRule="auto"/>
      </w:pPr>
    </w:p>
    <w:p w:rsidR="00F77570" w:rsidRDefault="00BA0A69" w14:paraId="0C98FE92" w14:textId="77777777">
      <w:pPr>
        <w:spacing w:line="480" w:lineRule="auto"/>
        <w:ind w:firstLine="720"/>
        <w:jc w:val="both"/>
      </w:pPr>
      <w:r>
        <w:t>Ambos fenómenos comparten una consecuencia práctica similar para el usuario final —solicitudes que no se completan a tiempo— pero exigen mitigaciones distintas: la partición de red se mitiga con quorum y elección automática de primario (ya presente en el replica set de Atlas M0 y en el diseño teórico de PG); la saturación de carga se mitiga con dimensionamiento de pool de conexiones, caché y límites de admisión explícitos (rate limiting), no con mecanismos de CAP. Esta distinción, frecuentemente confundida en análisis superficiales, es un aprendizaje central de este proyecto.</w:t>
      </w:r>
    </w:p>
    <w:p w:rsidR="00F77570" w:rsidRDefault="00F77570" w14:paraId="31126E5D" w14:textId="77777777">
      <w:pPr>
        <w:spacing w:line="480" w:lineRule="auto"/>
      </w:pPr>
    </w:p>
    <w:p w:rsidR="005D081B" w:rsidRDefault="005D081B" w14:paraId="20607C20" w14:textId="77777777">
      <w:pPr>
        <w:pStyle w:val="heading20"/>
      </w:pPr>
    </w:p>
    <w:p w:rsidR="005D081B" w:rsidRDefault="005D081B" w14:paraId="343CF9FF" w14:textId="77777777">
      <w:pPr>
        <w:pStyle w:val="heading20"/>
      </w:pPr>
    </w:p>
    <w:p w:rsidR="005D081B" w:rsidRDefault="005D081B" w14:paraId="60F6DD06" w14:textId="77777777">
      <w:pPr>
        <w:pStyle w:val="heading20"/>
      </w:pPr>
    </w:p>
    <w:p w:rsidR="005D081B" w:rsidRDefault="005D081B" w14:paraId="41C1FCE2" w14:textId="77777777">
      <w:pPr>
        <w:pStyle w:val="heading20"/>
      </w:pPr>
    </w:p>
    <w:p w:rsidR="00F77570" w:rsidRDefault="00BA0A69" w14:paraId="26DCDBC6" w14:textId="798A17DA">
      <w:pPr>
        <w:pStyle w:val="heading20"/>
      </w:pPr>
      <w:r>
        <w:t>f.3 Ventanas de Inconsistencia Eventual y Estrategias de Mitigación</w:t>
      </w:r>
    </w:p>
    <w:p w:rsidR="00F77570" w:rsidRDefault="00F77570" w14:paraId="2DE403A5" w14:textId="77777777">
      <w:pPr>
        <w:spacing w:line="480" w:lineRule="auto"/>
      </w:pPr>
    </w:p>
    <w:p w:rsidR="00F77570" w:rsidRDefault="00BA0A69" w14:paraId="2AE3311A" w14:textId="77777777">
      <w:pPr>
        <w:spacing w:line="480" w:lineRule="auto"/>
        <w:jc w:val="center"/>
      </w:pPr>
      <w:r>
        <w:rPr>
          <w:b/>
          <w:bCs/>
        </w:rPr>
        <w:t>Tabla 10</w:t>
      </w:r>
    </w:p>
    <w:p w:rsidR="00F77570" w:rsidRDefault="00BA0A69" w14:paraId="1DCDAB15" w14:textId="77777777">
      <w:pPr>
        <w:spacing w:line="480" w:lineRule="auto"/>
        <w:jc w:val="center"/>
      </w:pPr>
      <w:r>
        <w:rPr>
          <w:i/>
          <w:iCs/>
        </w:rPr>
        <w:t>Ventanas de Inconsistencia Eventual por Escenario</w:t>
      </w:r>
    </w:p>
    <w:p w:rsidR="00F77570" w:rsidRDefault="00F77570" w14:paraId="62431CDC"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73"/>
        <w:gridCol w:w="1756"/>
        <w:gridCol w:w="1963"/>
        <w:gridCol w:w="3368"/>
      </w:tblGrid>
      <w:tr w:rsidR="00F77570" w14:paraId="2FC3E0EA" w14:textId="77777777">
        <w:tblPrEx>
          <w:tblCellMar>
            <w:top w:w="0" w:type="dxa"/>
            <w:bottom w:w="0" w:type="dxa"/>
          </w:tblCellMar>
        </w:tblPrEx>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4592152" w14:textId="77777777">
            <w:pPr>
              <w:spacing w:line="230" w:lineRule="auto"/>
              <w:jc w:val="center"/>
            </w:pPr>
            <w:r>
              <w:rPr>
                <w:b/>
                <w:bCs/>
                <w:color w:val="FFFFFF"/>
                <w:sz w:val="19"/>
                <w:szCs w:val="19"/>
              </w:rPr>
              <w:t>Escenario</w:t>
            </w:r>
          </w:p>
        </w:tc>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8ACDF4D" w14:textId="77777777">
            <w:pPr>
              <w:spacing w:line="230" w:lineRule="auto"/>
              <w:jc w:val="center"/>
            </w:pPr>
            <w:r>
              <w:rPr>
                <w:b/>
                <w:bCs/>
                <w:color w:val="FFFFFF"/>
                <w:sz w:val="19"/>
                <w:szCs w:val="19"/>
              </w:rPr>
              <w:t>Ventana típica</w:t>
            </w:r>
          </w:p>
        </w:tc>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5A50D7F5" w14:textId="77777777">
            <w:pPr>
              <w:spacing w:line="230" w:lineRule="auto"/>
              <w:jc w:val="center"/>
            </w:pPr>
            <w:r>
              <w:rPr>
                <w:b/>
                <w:bCs/>
                <w:color w:val="FFFFFF"/>
                <w:sz w:val="19"/>
                <w:szCs w:val="19"/>
              </w:rPr>
              <w:t>Sensibilidad</w:t>
            </w:r>
          </w:p>
        </w:tc>
        <w:tc>
          <w:tcPr>
            <w:tcW w:w="32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7C768314" w14:textId="77777777">
            <w:pPr>
              <w:spacing w:line="230" w:lineRule="auto"/>
              <w:jc w:val="center"/>
            </w:pPr>
            <w:r>
              <w:rPr>
                <w:b/>
                <w:bCs/>
                <w:color w:val="FFFFFF"/>
                <w:sz w:val="19"/>
                <w:szCs w:val="19"/>
              </w:rPr>
              <w:t>Mitigación</w:t>
            </w:r>
          </w:p>
        </w:tc>
      </w:tr>
      <w:tr w:rsidR="00F77570" w14:paraId="59B2EC94" w14:textId="77777777">
        <w:tblPrEx>
          <w:tblCellMar>
            <w:top w:w="0" w:type="dxa"/>
            <w:bottom w:w="0" w:type="dxa"/>
          </w:tblCellMar>
        </w:tblPrEx>
        <w:tc>
          <w:tcPr>
            <w:tcW w:w="2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E6BA2C5" w14:textId="77777777">
            <w:pPr>
              <w:spacing w:line="230" w:lineRule="auto"/>
              <w:jc w:val="center"/>
            </w:pPr>
            <w:r>
              <w:rPr>
                <w:color w:val="000000"/>
                <w:sz w:val="19"/>
                <w:szCs w:val="19"/>
              </w:rPr>
              <w:t>Review recién insertada no visible en réplica secundaria</w:t>
            </w:r>
          </w:p>
        </w:tc>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B03CA9B" w14:textId="77777777">
            <w:pPr>
              <w:spacing w:line="230" w:lineRule="auto"/>
              <w:jc w:val="center"/>
            </w:pPr>
            <w:r>
              <w:rPr>
                <w:color w:val="000000"/>
                <w:sz w:val="19"/>
                <w:szCs w:val="19"/>
              </w:rPr>
              <w:t>&lt; 2 s</w:t>
            </w:r>
          </w:p>
        </w:tc>
        <w:tc>
          <w:tcPr>
            <w:tcW w:w="1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DD1C3C5" w14:textId="77777777">
            <w:pPr>
              <w:spacing w:line="230" w:lineRule="auto"/>
              <w:jc w:val="center"/>
            </w:pPr>
            <w:r>
              <w:rPr>
                <w:color w:val="000000"/>
                <w:sz w:val="19"/>
                <w:szCs w:val="19"/>
              </w:rPr>
              <w:t>BAJA</w:t>
            </w:r>
          </w:p>
        </w:tc>
        <w:tc>
          <w:tcPr>
            <w:tcW w:w="32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279EC07B" w14:textId="77777777">
            <w:pPr>
              <w:spacing w:line="230" w:lineRule="auto"/>
            </w:pPr>
            <w:r>
              <w:rPr>
                <w:color w:val="000000"/>
                <w:sz w:val="19"/>
                <w:szCs w:val="19"/>
              </w:rPr>
              <w:t>Causal consistency session si el usuario debe ver su propio write inmediatamente.</w:t>
            </w:r>
          </w:p>
        </w:tc>
      </w:tr>
      <w:tr w:rsidR="00F77570" w14:paraId="1D29390A" w14:textId="77777777">
        <w:tblPrEx>
          <w:tblCellMar>
            <w:top w:w="0" w:type="dxa"/>
            <w:bottom w:w="0" w:type="dxa"/>
          </w:tblCellMar>
        </w:tblPrEx>
        <w:tc>
          <w:tcPr>
            <w:tcW w:w="22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5FEBA25C" w14:textId="77777777">
            <w:pPr>
              <w:spacing w:line="230" w:lineRule="auto"/>
              <w:jc w:val="center"/>
            </w:pPr>
            <w:r>
              <w:rPr>
                <w:color w:val="000000"/>
                <w:sz w:val="19"/>
                <w:szCs w:val="19"/>
              </w:rPr>
              <w:t>orders_summary desactualizado respecto a PostgreSQL</w:t>
            </w:r>
          </w:p>
        </w:tc>
        <w:tc>
          <w:tcPr>
            <w:tcW w:w="17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156B819D" w14:textId="77777777">
            <w:pPr>
              <w:spacing w:line="230" w:lineRule="auto"/>
              <w:jc w:val="center"/>
            </w:pPr>
            <w:r>
              <w:rPr>
                <w:color w:val="000000"/>
                <w:sz w:val="19"/>
                <w:szCs w:val="19"/>
              </w:rPr>
              <w:t>hasta 1 h (ETL horario)</w:t>
            </w:r>
          </w:p>
        </w:tc>
        <w:tc>
          <w:tcPr>
            <w:tcW w:w="190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3B5267CD" w14:textId="77777777">
            <w:pPr>
              <w:spacing w:line="230" w:lineRule="auto"/>
              <w:jc w:val="center"/>
            </w:pPr>
            <w:r>
              <w:rPr>
                <w:color w:val="000000"/>
                <w:sz w:val="19"/>
                <w:szCs w:val="19"/>
              </w:rPr>
              <w:t>BAJA</w:t>
            </w:r>
          </w:p>
        </w:tc>
        <w:tc>
          <w:tcPr>
            <w:tcW w:w="3260" w:type="dxa"/>
            <w:tcBorders>
              <w:top w:val="single" w:color="1F3864" w:sz="4" w:space="0"/>
              <w:left w:val="single" w:color="1F3864" w:sz="4" w:space="0"/>
              <w:bottom w:val="single" w:color="1F3864" w:sz="4" w:space="0"/>
              <w:right w:val="single" w:color="1F3864" w:sz="4" w:space="0"/>
            </w:tcBorders>
            <w:shd w:val="clear" w:color="auto" w:fill="E2EFDA"/>
            <w:tcMar>
              <w:top w:w="60" w:type="dxa"/>
              <w:left w:w="100" w:type="dxa"/>
              <w:bottom w:w="60" w:type="dxa"/>
              <w:right w:w="100" w:type="dxa"/>
            </w:tcMar>
          </w:tcPr>
          <w:p w:rsidR="00F77570" w:rsidRDefault="00BA0A69" w14:paraId="40E0EAFA" w14:textId="77777777">
            <w:pPr>
              <w:spacing w:line="230" w:lineRule="auto"/>
            </w:pPr>
            <w:r>
              <w:rPr>
                <w:color w:val="000000"/>
                <w:sz w:val="19"/>
                <w:szCs w:val="19"/>
              </w:rPr>
              <w:t>Aceptado y documentado; timestamp de último refresh visible en el dashboard.</w:t>
            </w:r>
          </w:p>
        </w:tc>
      </w:tr>
      <w:tr w:rsidR="00F77570" w14:paraId="4B9C248C" w14:textId="77777777">
        <w:tblPrEx>
          <w:tblCellMar>
            <w:top w:w="0" w:type="dxa"/>
            <w:bottom w:w="0" w:type="dxa"/>
          </w:tblCellMar>
        </w:tblPrEx>
        <w:tc>
          <w:tcPr>
            <w:tcW w:w="22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421E384D" w14:textId="77777777">
            <w:pPr>
              <w:spacing w:line="230" w:lineRule="auto"/>
              <w:jc w:val="center"/>
            </w:pPr>
            <w:r>
              <w:rPr>
                <w:color w:val="000000"/>
                <w:sz w:val="19"/>
                <w:szCs w:val="19"/>
              </w:rPr>
              <w:t>Lectura de secundario con replication lag elevado</w:t>
            </w:r>
          </w:p>
        </w:tc>
        <w:tc>
          <w:tcPr>
            <w:tcW w:w="17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795661F7" w14:textId="77777777">
            <w:pPr>
              <w:spacing w:line="230" w:lineRule="auto"/>
              <w:jc w:val="center"/>
            </w:pPr>
            <w:r>
              <w:rPr>
                <w:color w:val="000000"/>
                <w:sz w:val="19"/>
                <w:szCs w:val="19"/>
              </w:rPr>
              <w:t>variable, potencialmente &gt;10 s bajo carga</w:t>
            </w:r>
          </w:p>
        </w:tc>
        <w:tc>
          <w:tcPr>
            <w:tcW w:w="19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3D8FECFA" w14:textId="77777777">
            <w:pPr>
              <w:spacing w:line="230" w:lineRule="auto"/>
              <w:jc w:val="center"/>
            </w:pPr>
            <w:r>
              <w:rPr>
                <w:color w:val="000000"/>
                <w:sz w:val="19"/>
                <w:szCs w:val="19"/>
              </w:rPr>
              <w:t>MEDIA-ALTA</w:t>
            </w:r>
          </w:p>
        </w:tc>
        <w:tc>
          <w:tcPr>
            <w:tcW w:w="32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09582793" w14:textId="77777777">
            <w:pPr>
              <w:spacing w:line="230" w:lineRule="auto"/>
            </w:pPr>
            <w:r>
              <w:rPr>
                <w:color w:val="000000"/>
                <w:sz w:val="19"/>
                <w:szCs w:val="19"/>
              </w:rPr>
              <w:t>readPreference=primary para operaciones donde la consistencia es crítica para el usuario.</w:t>
            </w:r>
          </w:p>
        </w:tc>
      </w:tr>
      <w:tr w:rsidR="00F77570" w14:paraId="767308EC" w14:textId="77777777">
        <w:tblPrEx>
          <w:tblCellMar>
            <w:top w:w="0" w:type="dxa"/>
            <w:bottom w:w="0" w:type="dxa"/>
          </w:tblCellMar>
        </w:tblPrEx>
        <w:tc>
          <w:tcPr>
            <w:tcW w:w="22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2AA5E4BF" w14:textId="77777777">
            <w:pPr>
              <w:spacing w:line="230" w:lineRule="auto"/>
              <w:jc w:val="center"/>
            </w:pPr>
            <w:r>
              <w:rPr>
                <w:color w:val="000000"/>
                <w:sz w:val="19"/>
                <w:szCs w:val="19"/>
              </w:rPr>
              <w:t>Failover de primario PostgreSQL</w:t>
            </w:r>
          </w:p>
        </w:tc>
        <w:tc>
          <w:tcPr>
            <w:tcW w:w="17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1F44A77E" w14:textId="77777777">
            <w:pPr>
              <w:spacing w:line="230" w:lineRule="auto"/>
              <w:jc w:val="center"/>
            </w:pPr>
            <w:r>
              <w:rPr>
                <w:color w:val="000000"/>
                <w:sz w:val="19"/>
                <w:szCs w:val="19"/>
              </w:rPr>
              <w:t>~30 s de indisponibilidad de escritura (estimado teórico)</w:t>
            </w:r>
          </w:p>
        </w:tc>
        <w:tc>
          <w:tcPr>
            <w:tcW w:w="190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0D567473" w14:textId="77777777">
            <w:pPr>
              <w:spacing w:line="230" w:lineRule="auto"/>
              <w:jc w:val="center"/>
            </w:pPr>
            <w:r>
              <w:rPr>
                <w:color w:val="000000"/>
                <w:sz w:val="19"/>
                <w:szCs w:val="19"/>
              </w:rPr>
              <w:t>ALTA</w:t>
            </w:r>
          </w:p>
        </w:tc>
        <w:tc>
          <w:tcPr>
            <w:tcW w:w="3260" w:type="dxa"/>
            <w:tcBorders>
              <w:top w:val="single" w:color="1F3864" w:sz="4" w:space="0"/>
              <w:left w:val="single" w:color="1F3864" w:sz="4" w:space="0"/>
              <w:bottom w:val="single" w:color="1F3864" w:sz="4" w:space="0"/>
              <w:right w:val="single" w:color="1F3864" w:sz="4" w:space="0"/>
            </w:tcBorders>
            <w:shd w:val="clear" w:color="auto" w:fill="FCE4D6"/>
            <w:tcMar>
              <w:top w:w="60" w:type="dxa"/>
              <w:left w:w="100" w:type="dxa"/>
              <w:bottom w:w="60" w:type="dxa"/>
              <w:right w:w="100" w:type="dxa"/>
            </w:tcMar>
          </w:tcPr>
          <w:p w:rsidR="00F77570" w:rsidRDefault="00BA0A69" w14:paraId="13E54861" w14:textId="77777777">
            <w:pPr>
              <w:spacing w:line="230" w:lineRule="auto"/>
            </w:pPr>
            <w:r>
              <w:rPr>
                <w:color w:val="000000"/>
                <w:sz w:val="19"/>
                <w:szCs w:val="19"/>
              </w:rPr>
              <w:t>retryWrites=true en el driver; reintentos automáticos tras detectar nuevo primario.</w:t>
            </w:r>
          </w:p>
        </w:tc>
      </w:tr>
    </w:tbl>
    <w:p w:rsidR="00F77570" w:rsidRDefault="00F77570" w14:paraId="49E398E2" w14:textId="77777777">
      <w:pPr>
        <w:spacing w:line="480" w:lineRule="auto"/>
      </w:pPr>
    </w:p>
    <w:p w:rsidR="00F77570" w:rsidRDefault="00BA0A69" w14:paraId="40860DB3" w14:textId="77777777">
      <w:pPr>
        <w:pStyle w:val="heading20"/>
      </w:pPr>
      <w:r>
        <w:t>f.4 Reflexión: ¿Fue Correcta la Selección de Tecnología por Módulo?</w:t>
      </w:r>
    </w:p>
    <w:p w:rsidR="00F77570" w:rsidRDefault="00F77570" w14:paraId="16287F21" w14:textId="77777777">
      <w:pPr>
        <w:spacing w:line="480" w:lineRule="auto"/>
      </w:pPr>
    </w:p>
    <w:p w:rsidR="00F77570" w:rsidRDefault="00BA0A69" w14:paraId="31AB50D1" w14:textId="24643541">
      <w:pPr>
        <w:spacing w:line="480" w:lineRule="auto"/>
        <w:ind w:firstLine="720"/>
        <w:jc w:val="both"/>
      </w:pPr>
      <w:r>
        <w:rPr>
          <w:b/>
          <w:bCs/>
        </w:rPr>
        <w:t xml:space="preserve">Validación empírica de orders_summary en MongoDB: </w:t>
      </w:r>
      <w:r>
        <w:t>la decisión de diseño original —pre-agregar datos transaccionales hacia una colección analítica en lugar de exponer JOINs en vivo a los dashboards— se tomó inicialmente por razones de separación de responsabilidades y patrones de modelado documental. La Sección e demostró, con evidencia empírica directa, que esta decisión es también la correcta desde la perspectiva de rendimiento bajo concurrencia: un JOIN equivalente ejecutado en vivo contra PostgreSQL colapsa en el mismo rango de concurrencia donde orders_summary en MongoDB permanece operativo.</w:t>
      </w:r>
    </w:p>
    <w:p w:rsidR="00F77570" w:rsidRDefault="00F77570" w14:paraId="5BE93A62" w14:textId="77777777">
      <w:pPr>
        <w:spacing w:line="480" w:lineRule="auto"/>
      </w:pPr>
    </w:p>
    <w:p w:rsidR="00F77570" w:rsidRDefault="00BA0A69" w14:paraId="23F68DC2" w14:textId="77777777">
      <w:pPr>
        <w:spacing w:line="480" w:lineRule="auto"/>
        <w:ind w:firstLine="720"/>
        <w:jc w:val="both"/>
      </w:pPr>
      <w:r>
        <w:rPr>
          <w:b/>
          <w:bCs/>
        </w:rPr>
        <w:t xml:space="preserve">Lo que SÍ cambiaríamos: </w:t>
      </w:r>
      <w:r>
        <w:t>la elección de Supabase Free Tier sin verificar previamente el tamaño efectivo del pool de PgBouncer fue una omisión en la fase de diseño. Un dimensionamiento de capacidad (capacity planning) más riguroso habría anticipado este punto de quiebre antes de la fase de pruebas, permitiendo decidir desde el diseño si el ETL hacia MongoDB debía ser la ruta principal de lectura para TODOS los dashboards —no solo los de alto tráfico— dejando PostgreSQL exclusivamente para escritura transaccional y lecturas puntuales de bajo volumen.</w:t>
      </w:r>
    </w:p>
    <w:p w:rsidR="00F77570" w:rsidRDefault="00F77570" w14:paraId="384BA73E" w14:textId="77777777">
      <w:pPr>
        <w:spacing w:line="480" w:lineRule="auto"/>
      </w:pPr>
    </w:p>
    <w:p w:rsidR="00F77570" w:rsidRDefault="00BA0A69" w14:paraId="3A079013" w14:textId="77777777">
      <w:pPr>
        <w:spacing w:line="480" w:lineRule="auto"/>
        <w:ind w:firstLine="720"/>
        <w:jc w:val="both"/>
      </w:pPr>
      <w:r>
        <w:rPr>
          <w:b/>
          <w:bCs/>
        </w:rPr>
        <w:t xml:space="preserve">Lo que NO cambiaríamos: </w:t>
      </w:r>
      <w:r>
        <w:t>la matriz de asignación CAP por entidad (Tabla 1) permanece correcta. Ningún hallazgo de la fase de pruebas sugiere que reviews, geolocation u orders_summary debieran migrar a PostgreSQL, ni que orders o payments debieran migrar a MongoDB. El problema identificado es de configuración de infraestructura, no de arquitectura de datos.</w:t>
      </w:r>
    </w:p>
    <w:p w:rsidR="00F77570" w:rsidRDefault="00F77570" w14:paraId="34B3F2EB" w14:textId="77777777">
      <w:pPr>
        <w:spacing w:line="480" w:lineRule="auto"/>
      </w:pPr>
    </w:p>
    <w:p w:rsidR="00F77570" w:rsidRDefault="00BA0A69" w14:paraId="36A781BF" w14:textId="77777777">
      <w:pPr>
        <w:pStyle w:val="heading20"/>
      </w:pPr>
      <w:r>
        <w:t>f.5 Lecciones Aprendidas sobre Arquitecturas Híbridas</w:t>
      </w:r>
    </w:p>
    <w:p w:rsidR="00F77570" w:rsidRDefault="00F77570" w14:paraId="7D34F5C7" w14:textId="77777777">
      <w:pPr>
        <w:spacing w:line="480" w:lineRule="auto"/>
      </w:pPr>
    </w:p>
    <w:p w:rsidR="00F77570" w:rsidRDefault="00BA0A69" w14:paraId="1622F143" w14:textId="77777777">
      <w:pPr>
        <w:pStyle w:val="ListParagraph"/>
        <w:numPr>
          <w:ilvl w:val="0"/>
          <w:numId w:val="4"/>
        </w:numPr>
      </w:pPr>
      <w:r>
        <w:t>Un benchmark comparativo entre motores es, en la práctica, casi siempre un benchmark de configuraciones de infraestructura específicas. Generalizar "X es más rápido que Y" sin aislar la variable de infraestructura es un error metodológico común que este proyecto evitó explícitamente mediante el análisis de la Sección e.4.</w:t>
      </w:r>
    </w:p>
    <w:p w:rsidR="00F77570" w:rsidRDefault="00BA0A69" w14:paraId="46C7A3C4" w14:textId="77777777">
      <w:pPr>
        <w:pStyle w:val="ListParagraph"/>
        <w:numPr>
          <w:ilvl w:val="0"/>
          <w:numId w:val="4"/>
        </w:numPr>
      </w:pPr>
      <w:r>
        <w:t>Los percentiles de latencia (p95/p99) son indispensables: el p50 por sí solo habría ocultado por completo la degradación catastrófica observada en PostgreSQL bajo carga —en varios puntos de la matriz, p50 y p95 difieren en un orden de magnitud.</w:t>
      </w:r>
    </w:p>
    <w:p w:rsidR="00F77570" w:rsidRDefault="00BA0A69" w14:paraId="0F214B81" w14:textId="77777777">
      <w:pPr>
        <w:pStyle w:val="ListParagraph"/>
        <w:numPr>
          <w:ilvl w:val="0"/>
          <w:numId w:val="4"/>
        </w:numPr>
      </w:pPr>
      <w:r>
        <w:t>Diseñar deliberadamente un query "peor caso" (lookup sin columna de partición) resultó valioso: reveló un trade-off real del particionamiento que de otro modo habría permanecido teórico.</w:t>
      </w:r>
    </w:p>
    <w:p w:rsidR="00F77570" w:rsidRDefault="00BA0A69" w14:paraId="4E063443" w14:textId="77777777">
      <w:pPr>
        <w:pStyle w:val="ListParagraph"/>
        <w:numPr>
          <w:ilvl w:val="0"/>
          <w:numId w:val="4"/>
        </w:numPr>
      </w:pPr>
      <w:r>
        <w:t>La arquitectura híbrida demostró su valor exactamente donde se esperaba: el módulo diseñado para tolerar mayor carga de lectura (MongoDB/orders_summary) lo hizo; el módulo diseñado para consistencia transaccional (PostgreSQL/orders) no fue exigido en ese eje por las pruebas, ya que su punto de quiebre en este experimento provino de un factor exógeno a su diseño relacional.</w:t>
      </w:r>
    </w:p>
    <w:p w:rsidR="00F77570" w:rsidRDefault="00BA0A69" w14:paraId="0B4020A7" w14:textId="77777777">
      <w:r>
        <w:br w:type="page"/>
      </w:r>
    </w:p>
    <w:p w:rsidR="00F77570" w:rsidRDefault="00BA0A69" w14:paraId="7D9C5DC9" w14:textId="77777777">
      <w:pPr>
        <w:pStyle w:val="heading10"/>
      </w:pPr>
      <w:r>
        <w:t>g. Recomendaciones Estratégicas</w:t>
      </w:r>
    </w:p>
    <w:p w:rsidR="00F77570" w:rsidRDefault="00F77570" w14:paraId="1D7B270A" w14:textId="77777777">
      <w:pPr>
        <w:spacing w:line="480" w:lineRule="auto"/>
      </w:pPr>
    </w:p>
    <w:p w:rsidR="00F77570" w:rsidRDefault="00BA0A69" w14:paraId="0B9C11CA" w14:textId="77777777">
      <w:pPr>
        <w:pStyle w:val="heading20"/>
      </w:pPr>
      <w:r>
        <w:t>g.1 Plan de Escalamiento para Crecimiento 10×</w:t>
      </w:r>
    </w:p>
    <w:p w:rsidR="00F77570" w:rsidRDefault="00F77570" w14:paraId="4F904CB7" w14:textId="77777777">
      <w:pPr>
        <w:spacing w:line="480" w:lineRule="auto"/>
      </w:pPr>
    </w:p>
    <w:p w:rsidR="00F77570" w:rsidRDefault="00BA0A69" w14:paraId="7D330EA0" w14:textId="77777777">
      <w:pPr>
        <w:spacing w:line="480" w:lineRule="auto"/>
        <w:ind w:firstLine="720"/>
        <w:jc w:val="both"/>
      </w:pPr>
      <w:r>
        <w:t>Los puntos de quiebre medidos en la Sección e (Tabla 4) permiten una estimación de capacidad basada en evidencia, no en suposición. Si el objetivo es soportar 10 veces la concurrencia actual sin degradación equivalente, las siguientes acciones son las de mayor impacto, ordenadas por prioridad:</w:t>
      </w:r>
    </w:p>
    <w:p w:rsidR="00F77570" w:rsidRDefault="00F77570" w14:paraId="06971CD3" w14:textId="77777777">
      <w:pPr>
        <w:spacing w:line="480" w:lineRule="auto"/>
      </w:pPr>
    </w:p>
    <w:p w:rsidR="00F77570" w:rsidRDefault="00BA0A69" w14:paraId="5E788465" w14:textId="77777777">
      <w:pPr>
        <w:spacing w:line="480" w:lineRule="auto"/>
        <w:jc w:val="center"/>
      </w:pPr>
      <w:r>
        <w:rPr>
          <w:b/>
          <w:bCs/>
        </w:rPr>
        <w:t>Tabla 11</w:t>
      </w:r>
    </w:p>
    <w:p w:rsidR="00F77570" w:rsidRDefault="00BA0A69" w14:paraId="7B794DE3" w14:textId="77777777">
      <w:pPr>
        <w:spacing w:line="480" w:lineRule="auto"/>
        <w:jc w:val="center"/>
      </w:pPr>
      <w:r>
        <w:rPr>
          <w:i/>
          <w:iCs/>
        </w:rPr>
        <w:t>Plan de Escalamiento 10× — Acciones Priorizadas</w:t>
      </w:r>
    </w:p>
    <w:p w:rsidR="00F77570" w:rsidRDefault="00F77570" w14:paraId="2A1F701D"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40"/>
        <w:gridCol w:w="2479"/>
        <w:gridCol w:w="2996"/>
        <w:gridCol w:w="2645"/>
      </w:tblGrid>
      <w:tr w:rsidR="00F77570" w14:paraId="0B739C9F"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178A26CC" w14:textId="77777777">
            <w:pPr>
              <w:spacing w:line="230" w:lineRule="auto"/>
              <w:jc w:val="center"/>
            </w:pPr>
            <w:r>
              <w:rPr>
                <w:b/>
                <w:bCs/>
                <w:color w:val="FFFFFF"/>
                <w:sz w:val="19"/>
                <w:szCs w:val="19"/>
              </w:rPr>
              <w:t>Prioridad</w:t>
            </w:r>
          </w:p>
        </w:tc>
        <w:tc>
          <w:tcPr>
            <w:tcW w:w="24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27AF7AF" w14:textId="77777777">
            <w:pPr>
              <w:spacing w:line="230" w:lineRule="auto"/>
              <w:jc w:val="center"/>
            </w:pPr>
            <w:r>
              <w:rPr>
                <w:b/>
                <w:bCs/>
                <w:color w:val="FFFFFF"/>
                <w:sz w:val="19"/>
                <w:szCs w:val="19"/>
              </w:rPr>
              <w:t>Acción</w:t>
            </w:r>
          </w:p>
        </w:tc>
        <w:tc>
          <w:tcPr>
            <w:tcW w:w="29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6ED7C3E7" w14:textId="77777777">
            <w:pPr>
              <w:spacing w:line="230" w:lineRule="auto"/>
              <w:jc w:val="center"/>
            </w:pPr>
            <w:r>
              <w:rPr>
                <w:b/>
                <w:bCs/>
                <w:color w:val="FFFFFF"/>
                <w:sz w:val="19"/>
                <w:szCs w:val="19"/>
              </w:rPr>
              <w:t>Justificación con evidencia</w:t>
            </w:r>
          </w:p>
        </w:tc>
        <w:tc>
          <w:tcPr>
            <w:tcW w:w="25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085CD13F" w14:textId="77777777">
            <w:pPr>
              <w:spacing w:line="230" w:lineRule="auto"/>
              <w:jc w:val="center"/>
            </w:pPr>
            <w:r>
              <w:rPr>
                <w:b/>
                <w:bCs/>
                <w:color w:val="FFFFFF"/>
                <w:sz w:val="19"/>
                <w:szCs w:val="19"/>
              </w:rPr>
              <w:t>Impacto esperado</w:t>
            </w:r>
          </w:p>
        </w:tc>
      </w:tr>
      <w:tr w:rsidR="00F77570" w14:paraId="5AA3DAC8"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65D2414" w14:textId="77777777">
            <w:pPr>
              <w:spacing w:line="230" w:lineRule="auto"/>
              <w:jc w:val="center"/>
            </w:pPr>
            <w:r>
              <w:rPr>
                <w:color w:val="000000"/>
                <w:sz w:val="19"/>
                <w:szCs w:val="19"/>
              </w:rPr>
              <w:t>1</w:t>
            </w:r>
          </w:p>
        </w:tc>
        <w:tc>
          <w:tcPr>
            <w:tcW w:w="2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521B0C5" w14:textId="77777777">
            <w:pPr>
              <w:spacing w:line="230" w:lineRule="auto"/>
            </w:pPr>
            <w:r>
              <w:rPr>
                <w:color w:val="000000"/>
                <w:sz w:val="19"/>
                <w:szCs w:val="19"/>
              </w:rPr>
              <w:t>Upgrade Supabase a plan Pro o PgBouncer dedicado con pool_size ≥ 100</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D4421D7" w14:textId="77777777">
            <w:pPr>
              <w:spacing w:line="230" w:lineRule="auto"/>
            </w:pPr>
            <w:r>
              <w:rPr>
                <w:color w:val="000000"/>
                <w:sz w:val="19"/>
                <w:szCs w:val="19"/>
              </w:rPr>
              <w:t>El quiebre medido ocurre en c=5-10; un pool 10× mayor desplaza el quiebre proporcionalmente, según el modelo de cola FIFO identificado en e.4</w:t>
            </w:r>
          </w:p>
        </w:tc>
        <w:tc>
          <w:tcPr>
            <w:tcW w:w="25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EB62508" w14:textId="77777777">
            <w:pPr>
              <w:spacing w:line="230" w:lineRule="auto"/>
            </w:pPr>
            <w:r>
              <w:rPr>
                <w:color w:val="000000"/>
                <w:sz w:val="19"/>
                <w:szCs w:val="19"/>
              </w:rPr>
              <w:t>Elimina el cuello de botella dominante identificado</w:t>
            </w:r>
          </w:p>
        </w:tc>
      </w:tr>
      <w:tr w:rsidR="00F77570" w14:paraId="0CDA1163"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8F999B5" w14:textId="77777777">
            <w:pPr>
              <w:spacing w:line="230" w:lineRule="auto"/>
              <w:jc w:val="center"/>
            </w:pPr>
            <w:r>
              <w:rPr>
                <w:color w:val="000000"/>
                <w:sz w:val="19"/>
                <w:szCs w:val="19"/>
              </w:rPr>
              <w:t>2</w:t>
            </w:r>
          </w:p>
        </w:tc>
        <w:tc>
          <w:tcPr>
            <w:tcW w:w="24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6D98B92" w14:textId="77777777">
            <w:pPr>
              <w:spacing w:line="230" w:lineRule="auto"/>
            </w:pPr>
            <w:r>
              <w:rPr>
                <w:color w:val="000000"/>
                <w:sz w:val="19"/>
                <w:szCs w:val="19"/>
              </w:rPr>
              <w:t>Introducir caché Redis delante de queries de dashboard frecuentes</w:t>
            </w:r>
          </w:p>
        </w:tc>
        <w:tc>
          <w:tcPr>
            <w:tcW w:w="29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96D1119" w14:textId="77777777">
            <w:pPr>
              <w:spacing w:line="230" w:lineRule="auto"/>
            </w:pPr>
            <w:r>
              <w:rPr>
                <w:color w:val="000000"/>
                <w:sz w:val="19"/>
                <w:szCs w:val="19"/>
              </w:rPr>
              <w:t>orders_summary ya pre-agrega, pero un caché de 60-300s reduce aún más la carga sobre MongoDB en picos</w:t>
            </w:r>
          </w:p>
        </w:tc>
        <w:tc>
          <w:tcPr>
            <w:tcW w:w="25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2B79F4FF" w14:textId="77777777">
            <w:pPr>
              <w:spacing w:line="230" w:lineRule="auto"/>
            </w:pPr>
            <w:r>
              <w:rPr>
                <w:color w:val="000000"/>
                <w:sz w:val="19"/>
                <w:szCs w:val="19"/>
              </w:rPr>
              <w:t>Reduce throughput requerido sobre BD en ~70-90% para lecturas repetidas</w:t>
            </w:r>
          </w:p>
        </w:tc>
      </w:tr>
      <w:tr w:rsidR="00F77570" w14:paraId="507C3999"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FCD5EC4" w14:textId="77777777">
            <w:pPr>
              <w:spacing w:line="230" w:lineRule="auto"/>
              <w:jc w:val="center"/>
            </w:pPr>
            <w:r>
              <w:rPr>
                <w:color w:val="000000"/>
                <w:sz w:val="19"/>
                <w:szCs w:val="19"/>
              </w:rPr>
              <w:t>3</w:t>
            </w:r>
          </w:p>
        </w:tc>
        <w:tc>
          <w:tcPr>
            <w:tcW w:w="2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5A37AE8" w14:textId="77777777">
            <w:pPr>
              <w:spacing w:line="230" w:lineRule="auto"/>
            </w:pPr>
            <w:r>
              <w:rPr>
                <w:color w:val="000000"/>
                <w:sz w:val="19"/>
                <w:szCs w:val="19"/>
              </w:rPr>
              <w:t>Migrar Atlas M0 a M10+ con sharding {customer.state, _id:hashed}</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7E9F014" w14:textId="77777777">
            <w:pPr>
              <w:spacing w:line="230" w:lineRule="auto"/>
            </w:pPr>
            <w:r>
              <w:rPr>
                <w:color w:val="000000"/>
                <w:sz w:val="19"/>
                <w:szCs w:val="19"/>
              </w:rPr>
              <w:t>Diseño teórico ya documentado; necesario cuando el volumen de orders_summary supere capacidad de un solo shard</w:t>
            </w:r>
          </w:p>
        </w:tc>
        <w:tc>
          <w:tcPr>
            <w:tcW w:w="25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8A6D275" w14:textId="77777777">
            <w:pPr>
              <w:spacing w:line="230" w:lineRule="auto"/>
            </w:pPr>
            <w:r>
              <w:rPr>
                <w:color w:val="000000"/>
                <w:sz w:val="19"/>
                <w:szCs w:val="19"/>
              </w:rPr>
              <w:t>Prepara el sistema para volumen 10× sin rediseño de shard key</w:t>
            </w:r>
          </w:p>
        </w:tc>
      </w:tr>
      <w:tr w:rsidR="00F77570" w14:paraId="0D836302"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2598DEE6" w14:textId="77777777">
            <w:pPr>
              <w:spacing w:line="230" w:lineRule="auto"/>
              <w:jc w:val="center"/>
            </w:pPr>
            <w:r>
              <w:rPr>
                <w:color w:val="000000"/>
                <w:sz w:val="19"/>
                <w:szCs w:val="19"/>
              </w:rPr>
              <w:t>4</w:t>
            </w:r>
          </w:p>
        </w:tc>
        <w:tc>
          <w:tcPr>
            <w:tcW w:w="24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11D813A2" w14:textId="77777777">
            <w:pPr>
              <w:spacing w:line="230" w:lineRule="auto"/>
            </w:pPr>
            <w:r>
              <w:rPr>
                <w:color w:val="000000"/>
                <w:sz w:val="19"/>
                <w:szCs w:val="19"/>
              </w:rPr>
              <w:t>Aplicar índice adicional sobre orders.order_id (no compuesto con partición)</w:t>
            </w:r>
          </w:p>
        </w:tc>
        <w:tc>
          <w:tcPr>
            <w:tcW w:w="29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4BCCDB72" w14:textId="77777777">
            <w:pPr>
              <w:spacing w:line="230" w:lineRule="auto"/>
            </w:pPr>
            <w:r>
              <w:rPr>
                <w:color w:val="000000"/>
                <w:sz w:val="19"/>
                <w:szCs w:val="19"/>
              </w:rPr>
              <w:t>Mitiga el escaneo de todas las particiones en lookups de punto, identificado como factor del baseline elevado</w:t>
            </w:r>
          </w:p>
        </w:tc>
        <w:tc>
          <w:tcPr>
            <w:tcW w:w="25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6E46827D" w14:textId="77777777">
            <w:pPr>
              <w:spacing w:line="230" w:lineRule="auto"/>
            </w:pPr>
            <w:r>
              <w:rPr>
                <w:color w:val="000000"/>
                <w:sz w:val="19"/>
                <w:szCs w:val="19"/>
              </w:rPr>
              <w:t>Reduce latencia base de lookups puntuales</w:t>
            </w:r>
          </w:p>
        </w:tc>
      </w:tr>
      <w:tr w:rsidR="00F77570" w14:paraId="0864B4CA" w14:textId="77777777">
        <w:tblPrEx>
          <w:tblCellMar>
            <w:top w:w="0" w:type="dxa"/>
            <w:bottom w:w="0" w:type="dxa"/>
          </w:tblCellMar>
        </w:tblPrEx>
        <w:tc>
          <w:tcPr>
            <w:tcW w:w="12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95C1E81" w14:textId="77777777">
            <w:pPr>
              <w:spacing w:line="230" w:lineRule="auto"/>
              <w:jc w:val="center"/>
            </w:pPr>
            <w:r>
              <w:rPr>
                <w:color w:val="000000"/>
                <w:sz w:val="19"/>
                <w:szCs w:val="19"/>
              </w:rPr>
              <w:t>5</w:t>
            </w:r>
          </w:p>
        </w:tc>
        <w:tc>
          <w:tcPr>
            <w:tcW w:w="24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BD6B00F" w14:textId="77777777">
            <w:pPr>
              <w:spacing w:line="230" w:lineRule="auto"/>
            </w:pPr>
            <w:r>
              <w:rPr>
                <w:color w:val="000000"/>
                <w:sz w:val="19"/>
                <w:szCs w:val="19"/>
              </w:rPr>
              <w:t>Read replicas de PostgreSQL para separar lectura analítica de escritura transaccional</w:t>
            </w:r>
          </w:p>
        </w:tc>
        <w:tc>
          <w:tcPr>
            <w:tcW w:w="29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E764B08" w14:textId="77777777">
            <w:pPr>
              <w:spacing w:line="230" w:lineRule="auto"/>
            </w:pPr>
            <w:r>
              <w:rPr>
                <w:color w:val="000000"/>
                <w:sz w:val="19"/>
                <w:szCs w:val="19"/>
              </w:rPr>
              <w:t>Reduce contención sobre el primario incluso si persisten JOINs en vivo ocasionales</w:t>
            </w:r>
          </w:p>
        </w:tc>
        <w:tc>
          <w:tcPr>
            <w:tcW w:w="25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1CA1D7B" w14:textId="77777777">
            <w:pPr>
              <w:spacing w:line="230" w:lineRule="auto"/>
            </w:pPr>
            <w:r>
              <w:rPr>
                <w:color w:val="000000"/>
                <w:sz w:val="19"/>
                <w:szCs w:val="19"/>
              </w:rPr>
              <w:t>Aísla picos de lectura del camino crítico de escritura</w:t>
            </w:r>
          </w:p>
        </w:tc>
      </w:tr>
    </w:tbl>
    <w:p w:rsidR="00F77570" w:rsidRDefault="00F77570" w14:paraId="03EFCA41" w14:textId="77777777">
      <w:pPr>
        <w:spacing w:line="480" w:lineRule="auto"/>
      </w:pPr>
    </w:p>
    <w:p w:rsidR="00687864" w:rsidRDefault="00687864" w14:paraId="0CFD21F6" w14:textId="77777777">
      <w:pPr>
        <w:spacing w:line="480" w:lineRule="auto"/>
      </w:pPr>
    </w:p>
    <w:p w:rsidR="00F77570" w:rsidRDefault="00BA0A69" w14:paraId="7695C2D1" w14:textId="77777777">
      <w:pPr>
        <w:pStyle w:val="heading20"/>
      </w:pPr>
      <w:r>
        <w:t>g.2 Migración de Free Tier a Producción — Consideraciones Técnicas y de Costo</w:t>
      </w:r>
    </w:p>
    <w:p w:rsidR="00F77570" w:rsidRDefault="00F77570" w14:paraId="5F96A722" w14:textId="77777777">
      <w:pPr>
        <w:spacing w:line="480" w:lineRule="auto"/>
      </w:pPr>
    </w:p>
    <w:p w:rsidR="00F77570" w:rsidRDefault="00BA0A69" w14:paraId="5E490516" w14:textId="77777777">
      <w:pPr>
        <w:spacing w:line="480" w:lineRule="auto"/>
        <w:jc w:val="center"/>
      </w:pPr>
      <w:r>
        <w:rPr>
          <w:b/>
          <w:bCs/>
        </w:rPr>
        <w:t>Tabla 12</w:t>
      </w:r>
    </w:p>
    <w:p w:rsidR="00F77570" w:rsidRDefault="00BA0A69" w14:paraId="3E925304" w14:textId="77777777">
      <w:pPr>
        <w:spacing w:line="480" w:lineRule="auto"/>
        <w:jc w:val="center"/>
      </w:pPr>
      <w:r>
        <w:rPr>
          <w:i/>
          <w:iCs/>
        </w:rPr>
        <w:t>Migración de Free Tier a Producción</w:t>
      </w:r>
    </w:p>
    <w:p w:rsidR="00F77570" w:rsidRDefault="00F77570" w14:paraId="5B95CD12" w14:textId="77777777">
      <w:pPr>
        <w:spacing w:line="480" w:lineRule="auto"/>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57"/>
        <w:gridCol w:w="2789"/>
        <w:gridCol w:w="2376"/>
        <w:gridCol w:w="2438"/>
      </w:tblGrid>
      <w:tr w:rsidR="00F77570" w14:paraId="0985901B"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2A5F797D" w14:textId="77777777">
            <w:pPr>
              <w:spacing w:line="230" w:lineRule="auto"/>
              <w:jc w:val="center"/>
            </w:pPr>
            <w:r>
              <w:rPr>
                <w:b/>
                <w:bCs/>
                <w:color w:val="FFFFFF"/>
                <w:sz w:val="19"/>
                <w:szCs w:val="19"/>
              </w:rPr>
              <w:t>Componente</w:t>
            </w:r>
          </w:p>
        </w:tc>
        <w:tc>
          <w:tcPr>
            <w:tcW w:w="27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D932DCD" w14:textId="77777777">
            <w:pPr>
              <w:spacing w:line="230" w:lineRule="auto"/>
              <w:jc w:val="center"/>
            </w:pPr>
            <w:r>
              <w:rPr>
                <w:b/>
                <w:bCs/>
                <w:color w:val="FFFFFF"/>
                <w:sz w:val="19"/>
                <w:szCs w:val="19"/>
              </w:rPr>
              <w:t>Free tier actual</w:t>
            </w:r>
          </w:p>
        </w:tc>
        <w:tc>
          <w:tcPr>
            <w:tcW w:w="230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1F22D5D" w14:textId="77777777">
            <w:pPr>
              <w:spacing w:line="230" w:lineRule="auto"/>
              <w:jc w:val="center"/>
            </w:pPr>
            <w:r>
              <w:rPr>
                <w:b/>
                <w:bCs/>
                <w:color w:val="FFFFFF"/>
                <w:sz w:val="19"/>
                <w:szCs w:val="19"/>
              </w:rPr>
              <w:t>Tier de producción sugerido</w:t>
            </w:r>
          </w:p>
        </w:tc>
        <w:tc>
          <w:tcPr>
            <w:tcW w:w="2360" w:type="dxa"/>
            <w:tcBorders>
              <w:top w:val="single" w:color="1F3864" w:sz="4" w:space="0"/>
              <w:left w:val="single" w:color="1F3864" w:sz="4" w:space="0"/>
              <w:bottom w:val="single" w:color="1F3864" w:sz="4" w:space="0"/>
              <w:right w:val="single" w:color="1F3864" w:sz="4" w:space="0"/>
            </w:tcBorders>
            <w:shd w:val="clear" w:color="auto" w:fill="1F3864"/>
            <w:tcMar>
              <w:top w:w="60" w:type="dxa"/>
              <w:left w:w="100" w:type="dxa"/>
              <w:bottom w:w="60" w:type="dxa"/>
              <w:right w:w="100" w:type="dxa"/>
            </w:tcMar>
            <w:vAlign w:val="center"/>
          </w:tcPr>
          <w:p w:rsidR="00F77570" w:rsidRDefault="00BA0A69" w14:paraId="4BC06D51" w14:textId="77777777">
            <w:pPr>
              <w:spacing w:line="230" w:lineRule="auto"/>
              <w:jc w:val="center"/>
            </w:pPr>
            <w:r>
              <w:rPr>
                <w:b/>
                <w:bCs/>
                <w:color w:val="FFFFFF"/>
                <w:sz w:val="19"/>
                <w:szCs w:val="19"/>
              </w:rPr>
              <w:t>Costo aproximado</w:t>
            </w:r>
          </w:p>
        </w:tc>
      </w:tr>
      <w:tr w:rsidR="00F77570" w14:paraId="321FDF92"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73EA0805" w14:textId="77777777">
            <w:pPr>
              <w:spacing w:line="230" w:lineRule="auto"/>
              <w:jc w:val="center"/>
            </w:pPr>
            <w:r>
              <w:rPr>
                <w:color w:val="000000"/>
                <w:sz w:val="19"/>
                <w:szCs w:val="19"/>
              </w:rPr>
              <w:t>PostgreSQL</w:t>
            </w:r>
          </w:p>
        </w:tc>
        <w:tc>
          <w:tcPr>
            <w:tcW w:w="2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9702544" w14:textId="77777777">
            <w:pPr>
              <w:spacing w:line="230" w:lineRule="auto"/>
            </w:pPr>
            <w:r>
              <w:rPr>
                <w:color w:val="000000"/>
                <w:sz w:val="19"/>
                <w:szCs w:val="19"/>
              </w:rPr>
              <w:t>Supabase Free (pool reducido)</w:t>
            </w:r>
          </w:p>
        </w:tc>
        <w:tc>
          <w:tcPr>
            <w:tcW w:w="2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2747611" w14:textId="77777777">
            <w:pPr>
              <w:spacing w:line="230" w:lineRule="auto"/>
            </w:pPr>
            <w:r>
              <w:rPr>
                <w:color w:val="000000"/>
                <w:sz w:val="19"/>
                <w:szCs w:val="19"/>
              </w:rPr>
              <w:t>Supabase Pro o self-hosted con PgBouncer dedicado</w:t>
            </w:r>
          </w:p>
        </w:tc>
        <w:tc>
          <w:tcPr>
            <w:tcW w:w="23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4B833505" w14:textId="77777777">
            <w:pPr>
              <w:spacing w:line="230" w:lineRule="auto"/>
            </w:pPr>
            <w:r>
              <w:rPr>
                <w:color w:val="000000"/>
                <w:sz w:val="19"/>
                <w:szCs w:val="19"/>
              </w:rPr>
              <w:t>$25-30/mes (Supabase Pro)</w:t>
            </w:r>
          </w:p>
        </w:tc>
      </w:tr>
      <w:tr w:rsidR="00F77570" w14:paraId="011ED15D"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E22DA2E" w14:textId="77777777">
            <w:pPr>
              <w:spacing w:line="230" w:lineRule="auto"/>
              <w:jc w:val="center"/>
            </w:pPr>
            <w:r>
              <w:rPr>
                <w:color w:val="000000"/>
                <w:sz w:val="19"/>
                <w:szCs w:val="19"/>
              </w:rPr>
              <w:t>MongoDB</w:t>
            </w:r>
          </w:p>
        </w:tc>
        <w:tc>
          <w:tcPr>
            <w:tcW w:w="2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4698B593" w14:textId="77777777">
            <w:pPr>
              <w:spacing w:line="230" w:lineRule="auto"/>
            </w:pPr>
            <w:r>
              <w:rPr>
                <w:color w:val="000000"/>
                <w:sz w:val="19"/>
                <w:szCs w:val="19"/>
              </w:rPr>
              <w:t>Atlas M0 (512 MB, sin sharding)</w:t>
            </w:r>
          </w:p>
        </w:tc>
        <w:tc>
          <w:tcPr>
            <w:tcW w:w="2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7D871D9D" w14:textId="77777777">
            <w:pPr>
              <w:spacing w:line="230" w:lineRule="auto"/>
            </w:pPr>
            <w:r>
              <w:rPr>
                <w:color w:val="000000"/>
                <w:sz w:val="19"/>
                <w:szCs w:val="19"/>
              </w:rPr>
              <w:t>Atlas M10+ (dedicado, con sharding)</w:t>
            </w:r>
          </w:p>
        </w:tc>
        <w:tc>
          <w:tcPr>
            <w:tcW w:w="23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55D67C88" w14:textId="77777777">
            <w:pPr>
              <w:spacing w:line="230" w:lineRule="auto"/>
            </w:pPr>
            <w:r>
              <w:rPr>
                <w:color w:val="000000"/>
                <w:sz w:val="19"/>
                <w:szCs w:val="19"/>
              </w:rPr>
              <w:t>desde $60/mes (M10)</w:t>
            </w:r>
          </w:p>
        </w:tc>
      </w:tr>
      <w:tr w:rsidR="00F77570" w14:paraId="42A4EE1F"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024DE016" w14:textId="77777777">
            <w:pPr>
              <w:spacing w:line="230" w:lineRule="auto"/>
              <w:jc w:val="center"/>
            </w:pPr>
            <w:r>
              <w:rPr>
                <w:color w:val="000000"/>
                <w:sz w:val="19"/>
                <w:szCs w:val="19"/>
              </w:rPr>
              <w:t>Caché</w:t>
            </w:r>
          </w:p>
        </w:tc>
        <w:tc>
          <w:tcPr>
            <w:tcW w:w="27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17ED9570" w14:textId="77777777">
            <w:pPr>
              <w:spacing w:line="230" w:lineRule="auto"/>
            </w:pPr>
            <w:r>
              <w:rPr>
                <w:color w:val="000000"/>
                <w:sz w:val="19"/>
                <w:szCs w:val="19"/>
              </w:rPr>
              <w:t>No implementado</w:t>
            </w:r>
          </w:p>
        </w:tc>
        <w:tc>
          <w:tcPr>
            <w:tcW w:w="230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514209DD" w14:textId="77777777">
            <w:pPr>
              <w:spacing w:line="230" w:lineRule="auto"/>
            </w:pPr>
            <w:r>
              <w:rPr>
                <w:color w:val="000000"/>
                <w:sz w:val="19"/>
                <w:szCs w:val="19"/>
              </w:rPr>
              <w:t>Redis (Upstash o self-hosted en VPS1)</w:t>
            </w:r>
          </w:p>
        </w:tc>
        <w:tc>
          <w:tcPr>
            <w:tcW w:w="2360" w:type="dxa"/>
            <w:tcBorders>
              <w:top w:val="single" w:color="1F3864" w:sz="4" w:space="0"/>
              <w:left w:val="single" w:color="1F3864" w:sz="4" w:space="0"/>
              <w:bottom w:val="single" w:color="1F3864" w:sz="4" w:space="0"/>
              <w:right w:val="single" w:color="1F3864" w:sz="4" w:space="0"/>
            </w:tcBorders>
            <w:shd w:val="clear" w:color="auto" w:fill="FFFFFF"/>
            <w:tcMar>
              <w:top w:w="60" w:type="dxa"/>
              <w:left w:w="100" w:type="dxa"/>
              <w:bottom w:w="60" w:type="dxa"/>
              <w:right w:w="100" w:type="dxa"/>
            </w:tcMar>
          </w:tcPr>
          <w:p w:rsidR="00F77570" w:rsidRDefault="00BA0A69" w14:paraId="3FE83696" w14:textId="77777777">
            <w:pPr>
              <w:spacing w:line="230" w:lineRule="auto"/>
            </w:pPr>
            <w:r>
              <w:rPr>
                <w:color w:val="000000"/>
                <w:sz w:val="19"/>
                <w:szCs w:val="19"/>
              </w:rPr>
              <w:t>$0-10/mes (Upstash free tier inicial)</w:t>
            </w:r>
          </w:p>
        </w:tc>
      </w:tr>
      <w:tr w:rsidR="00F77570" w14:paraId="533BD73C" w14:textId="77777777">
        <w:tblPrEx>
          <w:tblCellMar>
            <w:top w:w="0" w:type="dxa"/>
            <w:bottom w:w="0" w:type="dxa"/>
          </w:tblCellMar>
        </w:tblPrEx>
        <w:tc>
          <w:tcPr>
            <w:tcW w:w="1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54307E4" w14:textId="77777777">
            <w:pPr>
              <w:spacing w:line="230" w:lineRule="auto"/>
              <w:jc w:val="center"/>
            </w:pPr>
            <w:r>
              <w:rPr>
                <w:color w:val="000000"/>
                <w:sz w:val="19"/>
                <w:szCs w:val="19"/>
              </w:rPr>
              <w:t>Observabilidad</w:t>
            </w:r>
          </w:p>
        </w:tc>
        <w:tc>
          <w:tcPr>
            <w:tcW w:w="27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4DCC974" w14:textId="77777777">
            <w:pPr>
              <w:spacing w:line="230" w:lineRule="auto"/>
            </w:pPr>
            <w:r>
              <w:rPr>
                <w:color w:val="000000"/>
                <w:sz w:val="19"/>
                <w:szCs w:val="19"/>
              </w:rPr>
              <w:t>Métricas básicas Atlas/Supabase</w:t>
            </w:r>
          </w:p>
        </w:tc>
        <w:tc>
          <w:tcPr>
            <w:tcW w:w="230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38D236B3" w14:textId="77777777">
            <w:pPr>
              <w:spacing w:line="230" w:lineRule="auto"/>
            </w:pPr>
            <w:r>
              <w:rPr>
                <w:color w:val="000000"/>
                <w:sz w:val="19"/>
                <w:szCs w:val="19"/>
              </w:rPr>
              <w:t>Prometheus + Grafana (ya disponible en VPS1)</w:t>
            </w:r>
          </w:p>
        </w:tc>
        <w:tc>
          <w:tcPr>
            <w:tcW w:w="2360" w:type="dxa"/>
            <w:tcBorders>
              <w:top w:val="single" w:color="1F3864" w:sz="4" w:space="0"/>
              <w:left w:val="single" w:color="1F3864" w:sz="4" w:space="0"/>
              <w:bottom w:val="single" w:color="1F3864" w:sz="4" w:space="0"/>
              <w:right w:val="single" w:color="1F3864" w:sz="4" w:space="0"/>
            </w:tcBorders>
            <w:shd w:val="clear" w:color="auto" w:fill="DEEAF1"/>
            <w:tcMar>
              <w:top w:w="60" w:type="dxa"/>
              <w:left w:w="100" w:type="dxa"/>
              <w:bottom w:w="60" w:type="dxa"/>
              <w:right w:w="100" w:type="dxa"/>
            </w:tcMar>
          </w:tcPr>
          <w:p w:rsidR="00F77570" w:rsidRDefault="00BA0A69" w14:paraId="416D620B" w14:textId="77777777">
            <w:pPr>
              <w:spacing w:line="230" w:lineRule="auto"/>
            </w:pPr>
            <w:r>
              <w:rPr>
                <w:color w:val="000000"/>
                <w:sz w:val="19"/>
                <w:szCs w:val="19"/>
              </w:rPr>
              <w:t>Sin costo adicional — infraestructura existente</w:t>
            </w:r>
          </w:p>
        </w:tc>
      </w:tr>
    </w:tbl>
    <w:p w:rsidR="00F77570" w:rsidRDefault="00F77570" w14:paraId="5220BBB2" w14:textId="77777777">
      <w:pPr>
        <w:spacing w:line="480" w:lineRule="auto"/>
      </w:pPr>
    </w:p>
    <w:p w:rsidR="00F77570" w:rsidRDefault="00BA0A69" w14:paraId="740B2C2D" w14:textId="77777777">
      <w:pPr>
        <w:pStyle w:val="heading20"/>
      </w:pPr>
      <w:r>
        <w:t>g.3 Tecnologías Complementarias Recomendadas</w:t>
      </w:r>
    </w:p>
    <w:p w:rsidR="00F77570" w:rsidRDefault="00F77570" w14:paraId="13CB595B" w14:textId="77777777">
      <w:pPr>
        <w:spacing w:line="480" w:lineRule="auto"/>
      </w:pPr>
    </w:p>
    <w:p w:rsidR="00F77570" w:rsidRDefault="00BA0A69" w14:paraId="1BB0B45E" w14:textId="77777777">
      <w:pPr>
        <w:pStyle w:val="ListParagraph"/>
        <w:numPr>
          <w:ilvl w:val="0"/>
          <w:numId w:val="2"/>
        </w:numPr>
      </w:pPr>
      <w:r>
        <w:rPr>
          <w:b/>
          <w:bCs/>
        </w:rPr>
        <w:t xml:space="preserve">Caching: </w:t>
      </w:r>
      <w:r>
        <w:t>Redis para resultados de dashboard y catálogo de productos de alta frecuencia de lectura, con invalidación basada en el mismo ciclo del ETL existente.</w:t>
      </w:r>
    </w:p>
    <w:p w:rsidR="00F77570" w:rsidRDefault="00BA0A69" w14:paraId="19F137F1" w14:textId="77777777">
      <w:pPr>
        <w:pStyle w:val="ListParagraph"/>
        <w:numPr>
          <w:ilvl w:val="0"/>
          <w:numId w:val="2"/>
        </w:numPr>
      </w:pPr>
      <w:r>
        <w:rPr>
          <w:b/>
          <w:bCs/>
        </w:rPr>
        <w:t xml:space="preserve">Search: </w:t>
      </w:r>
      <w:r>
        <w:t>considerar Atlas Search (Lucene-based) si pg_trgm y el text index actual de MongoDB resultan insuficientes para búsqueda multilingüe o con relevancia ponderada avanzada.</w:t>
      </w:r>
    </w:p>
    <w:p w:rsidR="00F77570" w:rsidRDefault="00BA0A69" w14:paraId="07780696" w14:textId="77777777">
      <w:pPr>
        <w:pStyle w:val="ListParagraph"/>
        <w:numPr>
          <w:ilvl w:val="0"/>
          <w:numId w:val="2"/>
        </w:numPr>
      </w:pPr>
      <w:r>
        <w:rPr>
          <w:b/>
          <w:bCs/>
        </w:rPr>
        <w:t xml:space="preserve">Rate limiting: </w:t>
      </w:r>
      <w:r>
        <w:t>introducir límites explícitos de solicitudes por cliente en la capa de aplicación, complementando —no sustituyendo— el dimensionamiento del pool de conexiones.</w:t>
      </w:r>
    </w:p>
    <w:p w:rsidR="00F77570" w:rsidRDefault="00F77570" w14:paraId="6D9C8D39" w14:textId="77777777">
      <w:pPr>
        <w:spacing w:line="480" w:lineRule="auto"/>
      </w:pPr>
    </w:p>
    <w:p w:rsidR="00F77570" w:rsidRDefault="00BA0A69" w14:paraId="2FC17F8B" w14:textId="77777777">
      <w:r>
        <w:br w:type="page"/>
      </w:r>
    </w:p>
    <w:p w:rsidR="00F77570" w:rsidRDefault="00BA0A69" w14:paraId="180C0D67" w14:textId="77777777">
      <w:pPr>
        <w:pStyle w:val="heading10"/>
      </w:pPr>
      <w:r>
        <w:t>h. Conclusiones</w:t>
      </w:r>
    </w:p>
    <w:p w:rsidR="00F77570" w:rsidRDefault="00F77570" w14:paraId="0A4F7224" w14:textId="77777777">
      <w:pPr>
        <w:spacing w:line="480" w:lineRule="auto"/>
      </w:pPr>
    </w:p>
    <w:p w:rsidR="00F77570" w:rsidRDefault="00BA0A69" w14:paraId="4F96916D" w14:textId="77777777">
      <w:pPr>
        <w:pStyle w:val="heading20"/>
      </w:pPr>
      <w:r>
        <w:t>h.1 Cumplimiento de Objetivos</w:t>
      </w:r>
    </w:p>
    <w:p w:rsidR="00F77570" w:rsidRDefault="00F77570" w14:paraId="5AE48A43" w14:textId="77777777">
      <w:pPr>
        <w:spacing w:line="480" w:lineRule="auto"/>
      </w:pPr>
    </w:p>
    <w:p w:rsidR="00F77570" w:rsidRDefault="00BA0A69" w14:paraId="0DA66159" w14:textId="77777777">
      <w:pPr>
        <w:spacing w:line="480" w:lineRule="auto"/>
        <w:ind w:firstLine="720"/>
        <w:jc w:val="both"/>
      </w:pPr>
      <w:r>
        <w:t>Los cuatro objetivos planteados en la Sección b.2 se cumplieron: (1) la arquitectura híbrida fue implementada y desplegada sobre infraestructura real (Supabase + Atlas M0); (2) ambos motores fueron optimizados con técnicas específicas del dominio (PostGIS, particionamiento, JSONB, Computed Pattern); (3) se ejecutó una suite sistemática de pruebas de carga con metodología comparable entre motores; y (4) se produjo un análisis crítico fundamentado en evidencia propia que corrigió una interpretación inicial ingenua de los resultados, identificando la causa raíz real del comportamiento observado.</w:t>
      </w:r>
    </w:p>
    <w:p w:rsidR="00F77570" w:rsidRDefault="00F77570" w14:paraId="50F40DEB" w14:textId="77777777">
      <w:pPr>
        <w:spacing w:line="480" w:lineRule="auto"/>
      </w:pPr>
    </w:p>
    <w:p w:rsidR="00F77570" w:rsidRDefault="00BA0A69" w14:paraId="272B460C" w14:textId="77777777">
      <w:pPr>
        <w:pStyle w:val="heading20"/>
      </w:pPr>
      <w:r>
        <w:t>h.2 Principales Aprendizajes del Equipo</w:t>
      </w:r>
    </w:p>
    <w:p w:rsidR="00F77570" w:rsidRDefault="00F77570" w14:paraId="77A52294" w14:textId="77777777">
      <w:pPr>
        <w:spacing w:line="480" w:lineRule="auto"/>
      </w:pPr>
    </w:p>
    <w:p w:rsidR="00F77570" w:rsidRDefault="00BA0A69" w14:paraId="4EBF4C2C" w14:textId="77777777">
      <w:pPr>
        <w:spacing w:line="480" w:lineRule="auto"/>
        <w:ind w:firstLine="720"/>
        <w:jc w:val="both"/>
      </w:pPr>
      <w:r>
        <w:t>El aprendizaje más significativo de esta fase no fue técnico en el sentido estricto, sino metodológico: la disciplina de cuestionar la primera interpretación de un resultado de benchmark —especialmente cuando favorece una narrativa simple— y de buscar el mecanismo causal subyacente antes de reportar una conclusión. El patrón de cola FIFO identificado en la Sección e.4 no era evidente en una primera lectura de las tablas; emergió únicamente al examinar la relación entre concurrencia, errores y latencia fila por fila.</w:t>
      </w:r>
    </w:p>
    <w:p w:rsidR="00F77570" w:rsidRDefault="00F77570" w14:paraId="3AF12BFE" w14:textId="77777777">
      <w:pPr>
        <w:spacing w:line="480" w:lineRule="auto"/>
      </w:pPr>
    </w:p>
    <w:p w:rsidR="00F77570" w:rsidRDefault="00BA0A69" w14:paraId="4B31FC9B" w14:textId="77777777">
      <w:pPr>
        <w:pStyle w:val="heading20"/>
      </w:pPr>
      <w:r>
        <w:t>h.3 Reflexión Final sobre el Proceso</w:t>
      </w:r>
    </w:p>
    <w:p w:rsidR="00F77570" w:rsidRDefault="00F77570" w14:paraId="450EA2D7" w14:textId="77777777">
      <w:pPr>
        <w:spacing w:line="480" w:lineRule="auto"/>
      </w:pPr>
    </w:p>
    <w:p w:rsidR="00F77570" w:rsidRDefault="00BA0A69" w14:paraId="06675FE3" w14:textId="77777777">
      <w:pPr>
        <w:spacing w:line="480" w:lineRule="auto"/>
        <w:ind w:firstLine="720"/>
        <w:jc w:val="both"/>
      </w:pPr>
      <w:r>
        <w:t>Ecommify demuestra que una arquitectura híbrida bien diseñada en el papel puede validarse —o refutarse— únicamente mediante evidencia empírica generada por el propio equipo. La decisión de pre-agregar datos hacia MongoDB para cargas analíticas, tomada inicialmente por razones de diseño documental, resultó también ser la decisión correcta de rendimiento bajo las condiciones de infraestructura disponibles. Igualmente importante: la limitación más severa encontrada no provino de una mala decisión arquitectónica, sino de un parámetro de configuración de infraestructura no verificado a tiempo —un recordatorio de que el diseño de datos y el dimensionamiento de infraestructura son disciplinas complementarias, no intercambiables.</w:t>
      </w:r>
    </w:p>
    <w:p w:rsidR="00F77570" w:rsidRDefault="00BA0A69" w14:paraId="3DD355C9" w14:textId="77777777">
      <w:r>
        <w:br w:type="page"/>
      </w:r>
    </w:p>
    <w:p w:rsidR="00F77570" w:rsidRDefault="00BA0A69" w14:paraId="1DB58F82" w14:textId="77777777">
      <w:pPr>
        <w:pStyle w:val="heading10"/>
      </w:pPr>
      <w:r>
        <w:t>i. Referencias y Anexos</w:t>
      </w:r>
    </w:p>
    <w:p w:rsidR="00F77570" w:rsidRDefault="00F77570" w14:paraId="1A81F0B1" w14:textId="77777777">
      <w:pPr>
        <w:spacing w:line="480" w:lineRule="auto"/>
      </w:pPr>
    </w:p>
    <w:p w:rsidR="00F77570" w:rsidRDefault="00BA0A69" w14:paraId="4E1F9A16" w14:textId="77777777">
      <w:pPr>
        <w:pStyle w:val="heading20"/>
      </w:pPr>
      <w:r>
        <w:t>Referencias</w:t>
      </w:r>
    </w:p>
    <w:p w:rsidR="00F77570" w:rsidRDefault="00F77570" w14:paraId="717AAFBA" w14:textId="77777777">
      <w:pPr>
        <w:spacing w:line="480" w:lineRule="auto"/>
      </w:pPr>
    </w:p>
    <w:p w:rsidR="00F77570" w:rsidRDefault="00BA0A69" w14:paraId="3EE38298" w14:textId="77777777">
      <w:pPr>
        <w:spacing w:line="480" w:lineRule="auto"/>
        <w:ind w:left="720" w:hanging="720"/>
      </w:pPr>
      <w:r>
        <w:t xml:space="preserve">Brewer, E. A. (2000). Towards robust distributed systems [Keynote]. </w:t>
      </w:r>
      <w:r>
        <w:rPr>
          <w:i/>
          <w:iCs/>
        </w:rPr>
        <w:t>Proceedings of the 19th Annual ACM Symposium on Principles of Distributed Computing</w:t>
      </w:r>
      <w:r>
        <w:t>. https://doi.org/10.1145/343477.343502</w:t>
      </w:r>
    </w:p>
    <w:p w:rsidR="00F77570" w:rsidRDefault="00F77570" w14:paraId="56EE48EE" w14:textId="77777777">
      <w:pPr>
        <w:spacing w:line="480" w:lineRule="auto"/>
      </w:pPr>
    </w:p>
    <w:p w:rsidR="00F77570" w:rsidRDefault="00BA0A69" w14:paraId="7B9CD363" w14:textId="77777777">
      <w:pPr>
        <w:spacing w:line="480" w:lineRule="auto"/>
        <w:ind w:left="720" w:hanging="720"/>
      </w:pPr>
      <w:r>
        <w:t xml:space="preserve">Gilbert, S., &amp; Lynch, N. (2002). Brewer's conjecture and the feasibility of consistent, available, partition-tolerant web services. </w:t>
      </w:r>
      <w:r>
        <w:rPr>
          <w:i/>
          <w:iCs/>
        </w:rPr>
        <w:t>ACM SIGACT News, 33</w:t>
      </w:r>
      <w:r>
        <w:t>(2), 51-59.</w:t>
      </w:r>
    </w:p>
    <w:p w:rsidR="00F77570" w:rsidRDefault="00F77570" w14:paraId="2908EB2C" w14:textId="77777777">
      <w:pPr>
        <w:spacing w:line="480" w:lineRule="auto"/>
      </w:pPr>
    </w:p>
    <w:p w:rsidR="00F77570" w:rsidRDefault="00BA0A69" w14:paraId="0E9A8B87" w14:textId="77777777">
      <w:pPr>
        <w:spacing w:line="480" w:lineRule="auto"/>
        <w:ind w:left="720" w:hanging="720"/>
      </w:pPr>
      <w:r>
        <w:t xml:space="preserve">Kleppmann, M. (2017). </w:t>
      </w:r>
      <w:r>
        <w:rPr>
          <w:i/>
          <w:iCs/>
        </w:rPr>
        <w:t>Designing data-intensive applications: The big ideas behind reliable, scalable, and maintainable systems.</w:t>
      </w:r>
      <w:r>
        <w:t xml:space="preserve"> O'Reilly Media.</w:t>
      </w:r>
    </w:p>
    <w:p w:rsidR="00F77570" w:rsidRDefault="00F77570" w14:paraId="121FD38A" w14:textId="77777777">
      <w:pPr>
        <w:spacing w:line="480" w:lineRule="auto"/>
      </w:pPr>
    </w:p>
    <w:p w:rsidR="00F77570" w:rsidRDefault="00BA0A69" w14:paraId="100176A6" w14:textId="77777777">
      <w:pPr>
        <w:spacing w:line="480" w:lineRule="auto"/>
        <w:ind w:left="720" w:hanging="720"/>
      </w:pPr>
      <w:r>
        <w:t xml:space="preserve">MongoDB, Inc. (2025). </w:t>
      </w:r>
      <w:r>
        <w:rPr>
          <w:i/>
          <w:iCs/>
        </w:rPr>
        <w:t>Replication. MongoDB Manual.</w:t>
      </w:r>
      <w:r>
        <w:t xml:space="preserve"> https://www.mongodb.com/docs/manual/replication/</w:t>
      </w:r>
    </w:p>
    <w:p w:rsidR="00F77570" w:rsidRDefault="00F77570" w14:paraId="1FE2DD96" w14:textId="77777777">
      <w:pPr>
        <w:spacing w:line="480" w:lineRule="auto"/>
      </w:pPr>
    </w:p>
    <w:p w:rsidR="00F77570" w:rsidRDefault="00BA0A69" w14:paraId="2163AEA8" w14:textId="77777777">
      <w:pPr>
        <w:spacing w:line="480" w:lineRule="auto"/>
        <w:ind w:left="720" w:hanging="720"/>
      </w:pPr>
      <w:r>
        <w:t xml:space="preserve">MongoDB, Inc. (2025). </w:t>
      </w:r>
      <w:r>
        <w:rPr>
          <w:i/>
          <w:iCs/>
        </w:rPr>
        <w:t>Sharding. MongoDB Manual.</w:t>
      </w:r>
      <w:r>
        <w:t xml:space="preserve"> https://www.mongodb.com/docs/manual/sharding/</w:t>
      </w:r>
    </w:p>
    <w:p w:rsidR="00F77570" w:rsidRDefault="00F77570" w14:paraId="27357532" w14:textId="77777777">
      <w:pPr>
        <w:spacing w:line="480" w:lineRule="auto"/>
      </w:pPr>
    </w:p>
    <w:p w:rsidR="00F77570" w:rsidRDefault="00BA0A69" w14:paraId="4B6551A1" w14:textId="77777777">
      <w:pPr>
        <w:spacing w:line="480" w:lineRule="auto"/>
        <w:ind w:left="720" w:hanging="720"/>
      </w:pPr>
      <w:r>
        <w:t xml:space="preserve">Olist. (2018). </w:t>
      </w:r>
      <w:r>
        <w:rPr>
          <w:i/>
          <w:iCs/>
        </w:rPr>
        <w:t>Brazilian E-Commerce public dataset by Olist</w:t>
      </w:r>
      <w:r>
        <w:t xml:space="preserve"> [Conjunto de datos]. Kaggle. https://www.kaggle.com/datasets/olistbr/brazilian-ecommerce</w:t>
      </w:r>
    </w:p>
    <w:p w:rsidR="00F77570" w:rsidRDefault="00F77570" w14:paraId="07F023C8" w14:textId="77777777">
      <w:pPr>
        <w:spacing w:line="480" w:lineRule="auto"/>
      </w:pPr>
    </w:p>
    <w:p w:rsidR="00F77570" w:rsidRDefault="00BA0A69" w14:paraId="62331606" w14:textId="77777777">
      <w:pPr>
        <w:spacing w:line="480" w:lineRule="auto"/>
        <w:ind w:left="720" w:hanging="720"/>
      </w:pPr>
      <w:r>
        <w:t xml:space="preserve">PostgreSQL Global Development Group. (2025). </w:t>
      </w:r>
      <w:r>
        <w:rPr>
          <w:i/>
          <w:iCs/>
        </w:rPr>
        <w:t>PostgreSQL 16 Documentation.</w:t>
      </w:r>
      <w:r>
        <w:t xml:space="preserve"> https://www.postgresql.org/docs/16/</w:t>
      </w:r>
    </w:p>
    <w:p w:rsidR="00F77570" w:rsidRDefault="00F77570" w14:paraId="4BDB5498" w14:textId="77777777">
      <w:pPr>
        <w:spacing w:line="480" w:lineRule="auto"/>
      </w:pPr>
    </w:p>
    <w:p w:rsidR="00F77570" w:rsidRDefault="00BA0A69" w14:paraId="65538CE8" w14:textId="77777777">
      <w:pPr>
        <w:spacing w:line="480" w:lineRule="auto"/>
        <w:ind w:left="720" w:hanging="720"/>
      </w:pPr>
      <w:r>
        <w:t xml:space="preserve">PostGIS Project. (2025). </w:t>
      </w:r>
      <w:r>
        <w:rPr>
          <w:i/>
          <w:iCs/>
        </w:rPr>
        <w:t>PostGIS 3.4 Documentation.</w:t>
      </w:r>
      <w:r>
        <w:t xml:space="preserve"> https://postgis.net/documentation/</w:t>
      </w:r>
    </w:p>
    <w:p w:rsidR="00F77570" w:rsidRDefault="00F77570" w14:paraId="2916C19D" w14:textId="77777777">
      <w:pPr>
        <w:spacing w:line="480" w:lineRule="auto"/>
      </w:pPr>
    </w:p>
    <w:p w:rsidR="00F77570" w:rsidRDefault="00BA0A69" w14:paraId="613D3730" w14:textId="77777777">
      <w:pPr>
        <w:spacing w:line="480" w:lineRule="auto"/>
        <w:ind w:left="720" w:hanging="720"/>
      </w:pPr>
      <w:r>
        <w:t xml:space="preserve">Pulido, F. O., Martinez, M. A., Torres, N. F., &amp; Perez, J. F. (2026a). </w:t>
      </w:r>
      <w:r>
        <w:rPr>
          <w:i/>
          <w:iCs/>
        </w:rPr>
        <w:t>Documento técnico de diseño conceptual y lógico — Ecommify</w:t>
      </w:r>
      <w:r>
        <w:t xml:space="preserve"> [Entregable académico]. Universidad de La Sabana.</w:t>
      </w:r>
    </w:p>
    <w:p w:rsidR="00F77570" w:rsidRDefault="00F77570" w14:paraId="74869460" w14:textId="77777777">
      <w:pPr>
        <w:spacing w:line="480" w:lineRule="auto"/>
      </w:pPr>
    </w:p>
    <w:p w:rsidR="00F77570" w:rsidRDefault="00BA0A69" w14:paraId="62299ADC" w14:textId="77777777">
      <w:pPr>
        <w:spacing w:line="480" w:lineRule="auto"/>
        <w:ind w:left="720" w:hanging="720"/>
      </w:pPr>
      <w:r>
        <w:t xml:space="preserve">Pulido, F. O., Martinez, M. A., Torres, N. F., &amp; Perez, J. F. (2026b). </w:t>
      </w:r>
      <w:r>
        <w:rPr>
          <w:i/>
          <w:iCs/>
        </w:rPr>
        <w:t>Notebook 05 — Pruebas de carga, concurrencia y escalabilidad: resultados crudos</w:t>
      </w:r>
      <w:r>
        <w:t xml:space="preserve"> [Evidencia empírica del proyecto]. Universidad de La Sabana.</w:t>
      </w:r>
    </w:p>
    <w:p w:rsidR="00F77570" w:rsidRDefault="00F77570" w14:paraId="187F57B8" w14:textId="77777777">
      <w:pPr>
        <w:spacing w:line="480" w:lineRule="auto"/>
      </w:pPr>
    </w:p>
    <w:p w:rsidR="00F77570" w:rsidRDefault="00BA0A69" w14:paraId="3C3BBB23" w14:textId="77777777">
      <w:pPr>
        <w:spacing w:line="480" w:lineRule="auto"/>
        <w:ind w:left="720" w:hanging="720"/>
      </w:pPr>
      <w:r>
        <w:t xml:space="preserve">Supabase, Inc. (2025). </w:t>
      </w:r>
      <w:r>
        <w:rPr>
          <w:i/>
          <w:iCs/>
        </w:rPr>
        <w:t>Connection pooling. Supabase Documentation.</w:t>
      </w:r>
      <w:r>
        <w:t xml:space="preserve"> https://supabase.com/docs/guides/database/connecting-to-postgres</w:t>
      </w:r>
    </w:p>
    <w:p w:rsidR="00F77570" w:rsidRDefault="00F77570" w14:paraId="54738AF4" w14:textId="77777777">
      <w:pPr>
        <w:spacing w:line="480" w:lineRule="auto"/>
      </w:pPr>
    </w:p>
    <w:p w:rsidR="00F77570" w:rsidRDefault="00F77570" w14:paraId="46ABBD8F" w14:textId="77777777">
      <w:pPr>
        <w:spacing w:line="480" w:lineRule="auto"/>
      </w:pPr>
    </w:p>
    <w:p w:rsidR="00F77570" w:rsidRDefault="00BA0A69" w14:paraId="18B41D31" w14:textId="77777777">
      <w:pPr>
        <w:pStyle w:val="heading20"/>
      </w:pPr>
      <w:r>
        <w:t>Anexo A — Archivos de Evidencia Generados</w:t>
      </w:r>
    </w:p>
    <w:p w:rsidR="00F77570" w:rsidRDefault="00F77570" w14:paraId="06BBA33E" w14:textId="77777777">
      <w:pPr>
        <w:spacing w:line="480" w:lineRule="auto"/>
      </w:pPr>
    </w:p>
    <w:p w:rsidR="00F77570" w:rsidRDefault="00BA0A69" w14:paraId="342ADAEF" w14:textId="77777777">
      <w:pPr>
        <w:pStyle w:val="ListParagraph"/>
        <w:numPr>
          <w:ilvl w:val="0"/>
          <w:numId w:val="2"/>
        </w:numPr>
      </w:pPr>
      <w:r>
        <w:t>load_test_concurrencia_20260621_011737.csv — 24 mediciones de throughput/latencia por concurrencia × motor × tipo de query</w:t>
      </w:r>
    </w:p>
    <w:p w:rsidR="00F77570" w:rsidRDefault="00BA0A69" w14:paraId="64F8D33A" w14:textId="77777777">
      <w:pPr>
        <w:pStyle w:val="ListParagraph"/>
        <w:numPr>
          <w:ilvl w:val="0"/>
          <w:numId w:val="2"/>
        </w:numPr>
      </w:pPr>
      <w:r>
        <w:t>load_test_escalabilidad_20260621_011737.csv — 6 mediciones de escalabilidad por subconjunto × motor</w:t>
      </w:r>
    </w:p>
    <w:p w:rsidR="00F77570" w:rsidRDefault="00BA0A69" w14:paraId="38900586" w14:textId="77777777">
      <w:pPr>
        <w:pStyle w:val="ListParagraph"/>
        <w:numPr>
          <w:ilvl w:val="0"/>
          <w:numId w:val="2"/>
        </w:numPr>
      </w:pPr>
      <w:r>
        <w:t>puntos_quiebre_20260621_011737.csv — 4 puntos de quiebre identificados automáticamente</w:t>
      </w:r>
    </w:p>
    <w:p w:rsidR="00F77570" w:rsidRDefault="00BA0A69" w14:paraId="03619664" w14:textId="77777777">
      <w:pPr>
        <w:pStyle w:val="ListParagraph"/>
        <w:numPr>
          <w:ilvl w:val="0"/>
          <w:numId w:val="2"/>
        </w:numPr>
      </w:pPr>
      <w:r>
        <w:t>conteos_subconjuntos_20260621_011737.csv — conteo real de filas por subconjunto de escalabilidad</w:t>
      </w:r>
    </w:p>
    <w:p w:rsidR="00F77570" w:rsidRDefault="00BA0A69" w14:paraId="73DA40AE" w14:textId="77777777">
      <w:pPr>
        <w:pStyle w:val="ListParagraph"/>
        <w:numPr>
          <w:ilvl w:val="0"/>
          <w:numId w:val="2"/>
        </w:numPr>
      </w:pPr>
      <w:r>
        <w:t>load_test_consolidado_20260621_011737.json — resultados crudos completos en formato JSON</w:t>
      </w:r>
    </w:p>
    <w:p w:rsidR="00F77570" w:rsidRDefault="00BA0A69" w14:paraId="5501BB71" w14:textId="77777777">
      <w:pPr>
        <w:pStyle w:val="ListParagraph"/>
        <w:numPr>
          <w:ilvl w:val="0"/>
          <w:numId w:val="2"/>
        </w:numPr>
      </w:pPr>
      <w:r>
        <w:t>load_test_concurrencia_20260621_011737.png y load_test_escalabilidad_20260621_011737.png — gráficas comparativas (incluidas en este informe como Figuras 1 y 2)</w:t>
      </w:r>
    </w:p>
    <w:sectPr w:rsidR="00F77570">
      <w:headerReference w:type="default" r:id="rId10"/>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137" w:rsidRDefault="004B4137" w14:paraId="4D2D7812" w14:textId="77777777">
      <w:r>
        <w:separator/>
      </w:r>
    </w:p>
  </w:endnote>
  <w:endnote w:type="continuationSeparator" w:id="0">
    <w:p w:rsidR="004B4137" w:rsidRDefault="004B4137" w14:paraId="71EE22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137" w:rsidRDefault="004B4137" w14:paraId="18D44F90" w14:textId="77777777">
      <w:r>
        <w:separator/>
      </w:r>
    </w:p>
  </w:footnote>
  <w:footnote w:type="continuationSeparator" w:id="0">
    <w:p w:rsidR="004B4137" w:rsidRDefault="004B4137" w14:paraId="3D50107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7570" w:rsidRDefault="00BA0A69" w14:paraId="7670C342" w14:textId="6F341A3D">
    <w:pPr>
      <w:tabs>
        <w:tab w:val="right" w:pos="9026"/>
      </w:tabs>
    </w:pPr>
    <w:r>
      <w:rPr>
        <w:sz w:val="18"/>
        <w:szCs w:val="18"/>
      </w:rPr>
      <w:t>INFORME TÉCNICO INTEGRAL — ECOMMIFY (PROYECTO FINAL)</w:t>
    </w:r>
    <w:r>
      <w:rPr>
        <w:sz w:val="18"/>
        <w:szCs w:val="18"/>
      </w:rPr>
      <w:tab/>
    </w:r>
    <w:r>
      <w:rPr>
        <w:sz w:val="18"/>
        <w:szCs w:val="18"/>
      </w:rPr>
      <w:fldChar w:fldCharType="begin"/>
    </w:r>
    <w:r>
      <w:rPr>
        <w:sz w:val="18"/>
        <w:szCs w:val="18"/>
      </w:rPr>
      <w:instrText>PAGE</w:instrText>
    </w:r>
    <w:r>
      <w:rPr>
        <w:sz w:val="18"/>
        <w:szCs w:val="18"/>
      </w:rPr>
      <w:fldChar w:fldCharType="separate"/>
    </w:r>
    <w:r w:rsidR="005C34BA">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C7A"/>
    <w:multiLevelType w:val="hybridMultilevel"/>
    <w:tmpl w:val="FFFFFFFF"/>
    <w:lvl w:ilvl="0" w:tplc="DBBC791E">
      <w:start w:val="1"/>
      <w:numFmt w:val="bullet"/>
      <w:lvlText w:val="•"/>
      <w:lvlJc w:val="left"/>
      <w:pPr>
        <w:spacing w:line="480" w:lineRule="auto"/>
        <w:ind w:left="720" w:hanging="360"/>
      </w:pPr>
    </w:lvl>
    <w:lvl w:ilvl="1" w:tplc="05D040A8">
      <w:numFmt w:val="decimal"/>
      <w:lvlText w:val=""/>
      <w:lvlJc w:val="left"/>
    </w:lvl>
    <w:lvl w:ilvl="2" w:tplc="E842A90E">
      <w:numFmt w:val="decimal"/>
      <w:lvlText w:val=""/>
      <w:lvlJc w:val="left"/>
    </w:lvl>
    <w:lvl w:ilvl="3" w:tplc="EDAEBAB6">
      <w:numFmt w:val="decimal"/>
      <w:lvlText w:val=""/>
      <w:lvlJc w:val="left"/>
    </w:lvl>
    <w:lvl w:ilvl="4" w:tplc="5CD4A706">
      <w:numFmt w:val="decimal"/>
      <w:lvlText w:val=""/>
      <w:lvlJc w:val="left"/>
    </w:lvl>
    <w:lvl w:ilvl="5" w:tplc="FDC40DCC">
      <w:numFmt w:val="decimal"/>
      <w:lvlText w:val=""/>
      <w:lvlJc w:val="left"/>
    </w:lvl>
    <w:lvl w:ilvl="6" w:tplc="AAE817F8">
      <w:numFmt w:val="decimal"/>
      <w:lvlText w:val=""/>
      <w:lvlJc w:val="left"/>
    </w:lvl>
    <w:lvl w:ilvl="7" w:tplc="016E4D90">
      <w:numFmt w:val="decimal"/>
      <w:lvlText w:val=""/>
      <w:lvlJc w:val="left"/>
    </w:lvl>
    <w:lvl w:ilvl="8" w:tplc="23FE3ECA">
      <w:numFmt w:val="decimal"/>
      <w:lvlText w:val=""/>
      <w:lvlJc w:val="left"/>
    </w:lvl>
  </w:abstractNum>
  <w:abstractNum w:abstractNumId="1" w15:restartNumberingAfterBreak="0">
    <w:nsid w:val="149C291E"/>
    <w:multiLevelType w:val="hybridMultilevel"/>
    <w:tmpl w:val="FFFFFFFF"/>
    <w:lvl w:ilvl="0" w:tplc="D3945488">
      <w:start w:val="1"/>
      <w:numFmt w:val="bullet"/>
      <w:lvlText w:val="●"/>
      <w:lvlJc w:val="left"/>
      <w:pPr>
        <w:ind w:left="720" w:hanging="360"/>
      </w:pPr>
    </w:lvl>
    <w:lvl w:ilvl="1" w:tplc="7388A922">
      <w:start w:val="1"/>
      <w:numFmt w:val="bullet"/>
      <w:lvlText w:val="○"/>
      <w:lvlJc w:val="left"/>
      <w:pPr>
        <w:ind w:left="1440" w:hanging="360"/>
      </w:pPr>
    </w:lvl>
    <w:lvl w:ilvl="2" w:tplc="280CC680">
      <w:start w:val="1"/>
      <w:numFmt w:val="bullet"/>
      <w:lvlText w:val="■"/>
      <w:lvlJc w:val="left"/>
      <w:pPr>
        <w:ind w:left="2160" w:hanging="360"/>
      </w:pPr>
    </w:lvl>
    <w:lvl w:ilvl="3" w:tplc="CFE08250">
      <w:start w:val="1"/>
      <w:numFmt w:val="bullet"/>
      <w:lvlText w:val="●"/>
      <w:lvlJc w:val="left"/>
      <w:pPr>
        <w:ind w:left="2880" w:hanging="360"/>
      </w:pPr>
    </w:lvl>
    <w:lvl w:ilvl="4" w:tplc="C15676B0">
      <w:start w:val="1"/>
      <w:numFmt w:val="bullet"/>
      <w:lvlText w:val="○"/>
      <w:lvlJc w:val="left"/>
      <w:pPr>
        <w:ind w:left="3600" w:hanging="360"/>
      </w:pPr>
    </w:lvl>
    <w:lvl w:ilvl="5" w:tplc="BA5E500A">
      <w:start w:val="1"/>
      <w:numFmt w:val="bullet"/>
      <w:lvlText w:val="■"/>
      <w:lvlJc w:val="left"/>
      <w:pPr>
        <w:ind w:left="4320" w:hanging="360"/>
      </w:pPr>
    </w:lvl>
    <w:lvl w:ilvl="6" w:tplc="13DADA3A">
      <w:start w:val="1"/>
      <w:numFmt w:val="bullet"/>
      <w:lvlText w:val="●"/>
      <w:lvlJc w:val="left"/>
      <w:pPr>
        <w:ind w:left="5040" w:hanging="360"/>
      </w:pPr>
    </w:lvl>
    <w:lvl w:ilvl="7" w:tplc="6E1EE7CE">
      <w:start w:val="1"/>
      <w:numFmt w:val="bullet"/>
      <w:lvlText w:val="●"/>
      <w:lvlJc w:val="left"/>
      <w:pPr>
        <w:ind w:left="5760" w:hanging="360"/>
      </w:pPr>
    </w:lvl>
    <w:lvl w:ilvl="8" w:tplc="69427E24">
      <w:start w:val="1"/>
      <w:numFmt w:val="bullet"/>
      <w:lvlText w:val="●"/>
      <w:lvlJc w:val="left"/>
      <w:pPr>
        <w:ind w:left="6480" w:hanging="360"/>
      </w:pPr>
    </w:lvl>
  </w:abstractNum>
  <w:abstractNum w:abstractNumId="2" w15:restartNumberingAfterBreak="0">
    <w:nsid w:val="16E488A0"/>
    <w:multiLevelType w:val="hybridMultilevel"/>
    <w:tmpl w:val="FFFFFFFF"/>
    <w:lvl w:ilvl="0" w:tplc="8402BC14">
      <w:start w:val="1"/>
      <w:numFmt w:val="decimal"/>
      <w:lvlText w:val="%1."/>
      <w:lvlJc w:val="left"/>
      <w:pPr>
        <w:spacing w:line="480" w:lineRule="auto"/>
        <w:ind w:left="720" w:hanging="360"/>
      </w:pPr>
    </w:lvl>
    <w:lvl w:ilvl="1" w:tplc="0262C524">
      <w:numFmt w:val="decimal"/>
      <w:lvlText w:val=""/>
      <w:lvlJc w:val="left"/>
    </w:lvl>
    <w:lvl w:ilvl="2" w:tplc="9098A458">
      <w:numFmt w:val="decimal"/>
      <w:lvlText w:val=""/>
      <w:lvlJc w:val="left"/>
    </w:lvl>
    <w:lvl w:ilvl="3" w:tplc="3BD49BBA">
      <w:numFmt w:val="decimal"/>
      <w:lvlText w:val=""/>
      <w:lvlJc w:val="left"/>
    </w:lvl>
    <w:lvl w:ilvl="4" w:tplc="C7F47FC2">
      <w:numFmt w:val="decimal"/>
      <w:lvlText w:val=""/>
      <w:lvlJc w:val="left"/>
    </w:lvl>
    <w:lvl w:ilvl="5" w:tplc="DA00DE10">
      <w:numFmt w:val="decimal"/>
      <w:lvlText w:val=""/>
      <w:lvlJc w:val="left"/>
    </w:lvl>
    <w:lvl w:ilvl="6" w:tplc="C7801D4E">
      <w:numFmt w:val="decimal"/>
      <w:lvlText w:val=""/>
      <w:lvlJc w:val="left"/>
    </w:lvl>
    <w:lvl w:ilvl="7" w:tplc="B0C022E2">
      <w:numFmt w:val="decimal"/>
      <w:lvlText w:val=""/>
      <w:lvlJc w:val="left"/>
    </w:lvl>
    <w:lvl w:ilvl="8" w:tplc="A24A8930">
      <w:numFmt w:val="decimal"/>
      <w:lvlText w:val=""/>
      <w:lvlJc w:val="left"/>
    </w:lvl>
  </w:abstractNum>
  <w:abstractNum w:abstractNumId="3" w15:restartNumberingAfterBreak="0">
    <w:nsid w:val="1AA29D99"/>
    <w:multiLevelType w:val="hybridMultilevel"/>
    <w:tmpl w:val="FFFFFFFF"/>
    <w:lvl w:ilvl="0" w:tplc="4BB0EDF8">
      <w:start w:val="1"/>
      <w:numFmt w:val="decimal"/>
      <w:lvlText w:val="%1."/>
      <w:lvlJc w:val="left"/>
      <w:pPr>
        <w:spacing w:line="480" w:lineRule="auto"/>
        <w:ind w:left="720" w:hanging="360"/>
      </w:pPr>
    </w:lvl>
    <w:lvl w:ilvl="1" w:tplc="FB3CB268">
      <w:numFmt w:val="decimal"/>
      <w:lvlText w:val=""/>
      <w:lvlJc w:val="left"/>
    </w:lvl>
    <w:lvl w:ilvl="2" w:tplc="D65E7C6C">
      <w:numFmt w:val="decimal"/>
      <w:lvlText w:val=""/>
      <w:lvlJc w:val="left"/>
    </w:lvl>
    <w:lvl w:ilvl="3" w:tplc="BE3A2B8E">
      <w:numFmt w:val="decimal"/>
      <w:lvlText w:val=""/>
      <w:lvlJc w:val="left"/>
    </w:lvl>
    <w:lvl w:ilvl="4" w:tplc="40404FBA">
      <w:numFmt w:val="decimal"/>
      <w:lvlText w:val=""/>
      <w:lvlJc w:val="left"/>
    </w:lvl>
    <w:lvl w:ilvl="5" w:tplc="F9B070FC">
      <w:numFmt w:val="decimal"/>
      <w:lvlText w:val=""/>
      <w:lvlJc w:val="left"/>
    </w:lvl>
    <w:lvl w:ilvl="6" w:tplc="16F625EA">
      <w:numFmt w:val="decimal"/>
      <w:lvlText w:val=""/>
      <w:lvlJc w:val="left"/>
    </w:lvl>
    <w:lvl w:ilvl="7" w:tplc="E07EBCE2">
      <w:numFmt w:val="decimal"/>
      <w:lvlText w:val=""/>
      <w:lvlJc w:val="left"/>
    </w:lvl>
    <w:lvl w:ilvl="8" w:tplc="DE108A04">
      <w:numFmt w:val="decimal"/>
      <w:lvlText w:val=""/>
      <w:lvlJc w:val="left"/>
    </w:lvl>
  </w:abstractNum>
  <w:abstractNum w:abstractNumId="4" w15:restartNumberingAfterBreak="0">
    <w:nsid w:val="57426AC2"/>
    <w:multiLevelType w:val="hybridMultilevel"/>
    <w:tmpl w:val="FFFFFFFF"/>
    <w:lvl w:ilvl="0" w:tplc="D07A4FEC">
      <w:start w:val="1"/>
      <w:numFmt w:val="decimal"/>
      <w:lvlText w:val="%1."/>
      <w:lvlJc w:val="left"/>
      <w:pPr>
        <w:spacing w:line="480" w:lineRule="auto"/>
        <w:ind w:left="720" w:hanging="360"/>
      </w:pPr>
    </w:lvl>
    <w:lvl w:ilvl="1" w:tplc="653E82DE">
      <w:numFmt w:val="decimal"/>
      <w:lvlText w:val=""/>
      <w:lvlJc w:val="left"/>
    </w:lvl>
    <w:lvl w:ilvl="2" w:tplc="11B0EB12">
      <w:numFmt w:val="decimal"/>
      <w:lvlText w:val=""/>
      <w:lvlJc w:val="left"/>
    </w:lvl>
    <w:lvl w:ilvl="3" w:tplc="960A91A6">
      <w:numFmt w:val="decimal"/>
      <w:lvlText w:val=""/>
      <w:lvlJc w:val="left"/>
    </w:lvl>
    <w:lvl w:ilvl="4" w:tplc="F44EEFF0">
      <w:numFmt w:val="decimal"/>
      <w:lvlText w:val=""/>
      <w:lvlJc w:val="left"/>
    </w:lvl>
    <w:lvl w:ilvl="5" w:tplc="4928E71A">
      <w:numFmt w:val="decimal"/>
      <w:lvlText w:val=""/>
      <w:lvlJc w:val="left"/>
    </w:lvl>
    <w:lvl w:ilvl="6" w:tplc="783CF338">
      <w:numFmt w:val="decimal"/>
      <w:lvlText w:val=""/>
      <w:lvlJc w:val="left"/>
    </w:lvl>
    <w:lvl w:ilvl="7" w:tplc="4E56A740">
      <w:numFmt w:val="decimal"/>
      <w:lvlText w:val=""/>
      <w:lvlJc w:val="left"/>
    </w:lvl>
    <w:lvl w:ilvl="8" w:tplc="EFDED04C">
      <w:numFmt w:val="decimal"/>
      <w:lvlText w:val=""/>
      <w:lvlJc w:val="left"/>
    </w:lvl>
  </w:abstractNum>
  <w:num w:numId="1" w16cid:durableId="1391617109">
    <w:abstractNumId w:val="1"/>
    <w:lvlOverride w:ilvl="0">
      <w:startOverride w:val="1"/>
    </w:lvlOverride>
  </w:num>
  <w:num w:numId="2" w16cid:durableId="1876579531">
    <w:abstractNumId w:val="0"/>
    <w:lvlOverride w:ilvl="0">
      <w:startOverride w:val="1"/>
    </w:lvlOverride>
  </w:num>
  <w:num w:numId="3" w16cid:durableId="2063863785">
    <w:abstractNumId w:val="3"/>
    <w:lvlOverride w:ilvl="0">
      <w:startOverride w:val="1"/>
    </w:lvlOverride>
  </w:num>
  <w:num w:numId="4" w16cid:durableId="2092307820">
    <w:abstractNumId w:val="4"/>
    <w:lvlOverride w:ilvl="0">
      <w:startOverride w:val="1"/>
    </w:lvlOverride>
  </w:num>
  <w:num w:numId="5" w16cid:durableId="686261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B2ABC9"/>
    <w:rsid w:val="000675CD"/>
    <w:rsid w:val="00067F76"/>
    <w:rsid w:val="00097ECF"/>
    <w:rsid w:val="000E2CD7"/>
    <w:rsid w:val="00146E6B"/>
    <w:rsid w:val="001C1596"/>
    <w:rsid w:val="001D160C"/>
    <w:rsid w:val="001E6AA5"/>
    <w:rsid w:val="00226FD7"/>
    <w:rsid w:val="002A2EC8"/>
    <w:rsid w:val="002F5B57"/>
    <w:rsid w:val="00351D66"/>
    <w:rsid w:val="00357CE7"/>
    <w:rsid w:val="00415C8A"/>
    <w:rsid w:val="0042406A"/>
    <w:rsid w:val="00446B10"/>
    <w:rsid w:val="0045690F"/>
    <w:rsid w:val="004B4137"/>
    <w:rsid w:val="004D71B0"/>
    <w:rsid w:val="0052031E"/>
    <w:rsid w:val="005C34BA"/>
    <w:rsid w:val="005D081B"/>
    <w:rsid w:val="0066227A"/>
    <w:rsid w:val="00687864"/>
    <w:rsid w:val="006B0CED"/>
    <w:rsid w:val="006C6E14"/>
    <w:rsid w:val="006D2A0E"/>
    <w:rsid w:val="00733B7B"/>
    <w:rsid w:val="00783EF6"/>
    <w:rsid w:val="0079306A"/>
    <w:rsid w:val="00793806"/>
    <w:rsid w:val="007A479A"/>
    <w:rsid w:val="007B0FEE"/>
    <w:rsid w:val="007B1338"/>
    <w:rsid w:val="007E44E8"/>
    <w:rsid w:val="0085372F"/>
    <w:rsid w:val="008D5372"/>
    <w:rsid w:val="009218AB"/>
    <w:rsid w:val="0094650B"/>
    <w:rsid w:val="009576CB"/>
    <w:rsid w:val="009E7DC4"/>
    <w:rsid w:val="00A04892"/>
    <w:rsid w:val="00A33DC7"/>
    <w:rsid w:val="00A548C9"/>
    <w:rsid w:val="00A651F8"/>
    <w:rsid w:val="00A87287"/>
    <w:rsid w:val="00A91537"/>
    <w:rsid w:val="00AC54F3"/>
    <w:rsid w:val="00AF13B9"/>
    <w:rsid w:val="00BA0A69"/>
    <w:rsid w:val="00C87927"/>
    <w:rsid w:val="00C9672F"/>
    <w:rsid w:val="00C97B02"/>
    <w:rsid w:val="00CA4F7C"/>
    <w:rsid w:val="00CF29A2"/>
    <w:rsid w:val="00D03FC1"/>
    <w:rsid w:val="00DB4981"/>
    <w:rsid w:val="00DD003A"/>
    <w:rsid w:val="00DD3F07"/>
    <w:rsid w:val="00DD5181"/>
    <w:rsid w:val="00E0338C"/>
    <w:rsid w:val="00E44B14"/>
    <w:rsid w:val="00EA1C91"/>
    <w:rsid w:val="00EE4D24"/>
    <w:rsid w:val="00EE7395"/>
    <w:rsid w:val="00EF2898"/>
    <w:rsid w:val="00F2003D"/>
    <w:rsid w:val="00F329D0"/>
    <w:rsid w:val="00F77570"/>
    <w:rsid w:val="00F86D55"/>
    <w:rsid w:val="00F924D2"/>
    <w:rsid w:val="00FF533B"/>
    <w:rsid w:val="21EC1ACA"/>
    <w:rsid w:val="38B2AB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6451E6"/>
  <w15:docId w15:val="{CDF3F09F-388C-4A48-A690-2BC6DDA6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line="480" w:lineRule="auto"/>
      <w:jc w:val="center"/>
      <w:outlineLvl w:val="0"/>
    </w:pPr>
    <w:rPr>
      <w:b/>
      <w:bCs/>
      <w:color w:val="000000"/>
      <w:sz w:val="28"/>
      <w:szCs w:val="28"/>
    </w:rPr>
  </w:style>
  <w:style w:type="paragraph" w:styleId="heading20" w:customStyle="1">
    <w:name w:val="heading 20"/>
    <w:qFormat/>
    <w:pPr>
      <w:spacing w:line="480" w:lineRule="auto"/>
      <w:outlineLvl w:val="1"/>
    </w:pPr>
    <w:rPr>
      <w:b/>
      <w:bCs/>
      <w:color w:val="000000"/>
    </w:rPr>
  </w:style>
  <w:style w:type="paragraph" w:styleId="heading30" w:customStyle="1">
    <w:name w:val="heading 30"/>
    <w:qFormat/>
    <w:pPr>
      <w:spacing w:line="480" w:lineRule="auto"/>
      <w:outlineLvl w:val="2"/>
    </w:pPr>
    <w:rPr>
      <w:b/>
      <w:bCs/>
      <w:i/>
      <w:iCs/>
      <w:color w:val="000000"/>
    </w:rPr>
  </w:style>
  <w:style w:type="paragraph" w:styleId="Header">
    <w:name w:val="header"/>
    <w:basedOn w:val="Normal"/>
    <w:link w:val="HeaderChar"/>
    <w:uiPriority w:val="99"/>
    <w:semiHidden/>
    <w:unhideWhenUsed/>
    <w:rsid w:val="00067F76"/>
    <w:pPr>
      <w:tabs>
        <w:tab w:val="center" w:pos="4419"/>
        <w:tab w:val="right" w:pos="8838"/>
      </w:tabs>
    </w:pPr>
  </w:style>
  <w:style w:type="character" w:styleId="HeaderChar" w:customStyle="1">
    <w:name w:val="Header Char"/>
    <w:basedOn w:val="DefaultParagraphFont"/>
    <w:link w:val="Header"/>
    <w:uiPriority w:val="99"/>
    <w:semiHidden/>
    <w:rsid w:val="007B0FEE"/>
  </w:style>
  <w:style w:type="paragraph" w:styleId="Footer">
    <w:name w:val="footer"/>
    <w:basedOn w:val="Normal"/>
    <w:link w:val="FooterChar"/>
    <w:uiPriority w:val="99"/>
    <w:semiHidden/>
    <w:unhideWhenUsed/>
    <w:rsid w:val="00067F76"/>
    <w:pPr>
      <w:tabs>
        <w:tab w:val="center" w:pos="4419"/>
        <w:tab w:val="right" w:pos="8838"/>
      </w:tabs>
    </w:pPr>
  </w:style>
  <w:style w:type="character" w:styleId="FooterChar" w:customStyle="1">
    <w:name w:val="Footer Char"/>
    <w:basedOn w:val="DefaultParagraphFont"/>
    <w:link w:val="Footer"/>
    <w:uiPriority w:val="99"/>
    <w:semiHidden/>
    <w:rsid w:val="007B0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Juan Francisco Javier Perez Rivero</lastModifiedBy>
  <revision>3</revision>
  <dcterms:created xsi:type="dcterms:W3CDTF">2026-06-21T02:31:00.0000000Z</dcterms:created>
  <dcterms:modified xsi:type="dcterms:W3CDTF">2026-06-21T23:47:21.4330093Z</dcterms:modified>
</coreProperties>
</file>