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ind w:firstLine="720"/>
      </w:pPr>
    </w:p>
    <w:p>
      <w:pPr>
        <w:spacing w:line="480" w:lineRule="auto" w:before="0"/>
        <w:ind w:firstLine="720"/>
      </w:pPr>
    </w:p>
    <w:p>
      <w:pPr>
        <w:spacing w:line="480" w:lineRule="auto" w:before="0"/>
        <w:ind w:firstLine="720"/>
      </w:pPr>
    </w:p>
    <w:p>
      <w:pPr>
        <w:spacing w:line="480" w:lineRule="auto" w:before="0"/>
        <w:ind w:firstLine="720"/>
      </w:pPr>
    </w:p>
    <w:p>
      <w:pPr>
        <w:spacing w:line="480" w:lineRule="auto" w:before="0"/>
        <w:jc w:val="center"/>
      </w:pPr>
      <w:r>
        <w:rPr>
          <w:rFonts w:ascii="Times New Roman" w:hAnsi="Times New Roman"/>
          <w:b/>
          <w:i w:val="0"/>
          <w:sz w:val="24"/>
        </w:rPr>
        <w:t>Plan de Game Day: diseño de experimentos de caos sobre un pipeline de observabilidad con OpenTelemetry</w:t>
      </w:r>
    </w:p>
    <w:p>
      <w:pPr>
        <w:spacing w:line="480" w:lineRule="auto" w:before="0"/>
        <w:ind w:firstLine="720"/>
      </w:pPr>
    </w:p>
    <w:p>
      <w:pPr>
        <w:spacing w:line="480" w:lineRule="auto" w:before="0"/>
        <w:jc w:val="center"/>
      </w:pPr>
      <w:r>
        <w:rPr>
          <w:rFonts w:ascii="Times New Roman" w:hAnsi="Times New Roman"/>
          <w:b w:val="0"/>
          <w:i w:val="0"/>
          <w:sz w:val="24"/>
        </w:rPr>
        <w:t>Fredy Orlando Pulido Quintero</w:t>
      </w:r>
    </w:p>
    <w:p>
      <w:pPr>
        <w:spacing w:line="480" w:lineRule="auto" w:before="0"/>
        <w:jc w:val="center"/>
      </w:pPr>
      <w:r>
        <w:rPr>
          <w:rFonts w:ascii="Times New Roman" w:hAnsi="Times New Roman"/>
          <w:b w:val="0"/>
          <w:i w:val="0"/>
          <w:sz w:val="24"/>
        </w:rPr>
        <w:t>Myriam Andrea Martínez Fontecha</w:t>
      </w:r>
    </w:p>
    <w:p>
      <w:pPr>
        <w:spacing w:line="480" w:lineRule="auto" w:before="0"/>
        <w:jc w:val="center"/>
      </w:pPr>
      <w:r>
        <w:rPr>
          <w:rFonts w:ascii="Times New Roman" w:hAnsi="Times New Roman"/>
          <w:b w:val="0"/>
          <w:i w:val="0"/>
          <w:sz w:val="24"/>
        </w:rPr>
        <w:t>Juan Francisco Javier Pérez Rivero</w:t>
      </w:r>
    </w:p>
    <w:p>
      <w:pPr>
        <w:spacing w:line="480" w:lineRule="auto" w:before="0"/>
        <w:jc w:val="center"/>
      </w:pPr>
      <w:r>
        <w:rPr>
          <w:rFonts w:ascii="Times New Roman" w:hAnsi="Times New Roman"/>
          <w:b w:val="0"/>
          <w:i w:val="0"/>
          <w:sz w:val="24"/>
        </w:rPr>
        <w:t>Nicolás Felipe Torres Amaya</w:t>
      </w:r>
    </w:p>
    <w:p>
      <w:pPr>
        <w:spacing w:line="480" w:lineRule="auto" w:before="0"/>
        <w:jc w:val="center"/>
      </w:pPr>
      <w:r>
        <w:rPr>
          <w:rFonts w:ascii="Times New Roman" w:hAnsi="Times New Roman"/>
          <w:b w:val="0"/>
          <w:i w:val="0"/>
          <w:sz w:val="24"/>
        </w:rPr>
        <w:t>Maestría en Arquitectura de Software</w:t>
      </w:r>
    </w:p>
    <w:p>
      <w:pPr>
        <w:spacing w:line="480" w:lineRule="auto" w:before="0"/>
        <w:jc w:val="center"/>
      </w:pPr>
      <w:r>
        <w:rPr>
          <w:rFonts w:ascii="Times New Roman" w:hAnsi="Times New Roman"/>
          <w:b w:val="0"/>
          <w:i w:val="0"/>
          <w:sz w:val="24"/>
        </w:rPr>
        <w:t>MASS – OBAP20264: Observabilidad en Ambientes Productivos</w:t>
      </w:r>
    </w:p>
    <w:p>
      <w:pPr>
        <w:spacing w:line="480" w:lineRule="auto" w:before="0"/>
        <w:jc w:val="center"/>
      </w:pPr>
      <w:r>
        <w:rPr>
          <w:rFonts w:ascii="Times New Roman" w:hAnsi="Times New Roman"/>
          <w:b w:val="0"/>
          <w:i w:val="0"/>
          <w:sz w:val="24"/>
        </w:rPr>
        <w:t>Maria Fernanda Ochoa Paipilla</w:t>
      </w:r>
    </w:p>
    <w:p>
      <w:pPr>
        <w:spacing w:line="480" w:lineRule="auto" w:before="0"/>
        <w:jc w:val="center"/>
      </w:pPr>
      <w:r>
        <w:rPr>
          <w:rFonts w:ascii="Times New Roman" w:hAnsi="Times New Roman"/>
          <w:b w:val="0"/>
          <w:i w:val="0"/>
          <w:sz w:val="24"/>
        </w:rPr>
        <w:t>26 de agosto de 2026</w:t>
      </w:r>
    </w:p>
    <w:p>
      <w:r>
        <w:br w:type="page"/>
      </w:r>
    </w:p>
    <w:p>
      <w:pPr>
        <w:spacing w:line="480" w:lineRule="auto" w:before="0"/>
        <w:jc w:val="center"/>
      </w:pPr>
      <w:r>
        <w:rPr>
          <w:rFonts w:ascii="Times New Roman" w:hAnsi="Times New Roman"/>
          <w:b/>
          <w:i w:val="0"/>
          <w:sz w:val="24"/>
        </w:rPr>
        <w:t>Plan de Game Day</w:t>
      </w:r>
    </w:p>
    <w:p>
      <w:pPr>
        <w:spacing w:line="480" w:lineRule="auto" w:before="240"/>
      </w:pPr>
      <w:r>
        <w:rPr>
          <w:rFonts w:ascii="Times New Roman" w:hAnsi="Times New Roman"/>
          <w:b/>
          <w:i w:val="0"/>
          <w:sz w:val="24"/>
        </w:rPr>
        <w:t>Arquitectura Objetivo</w:t>
      </w:r>
    </w:p>
    <w:p>
      <w:pPr>
        <w:spacing w:line="480" w:lineRule="auto" w:before="0"/>
        <w:ind w:firstLine="720"/>
      </w:pPr>
      <w:r>
        <w:rPr>
          <w:rFonts w:ascii="Times New Roman" w:hAnsi="Times New Roman"/>
          <w:b w:val="0"/>
          <w:i w:val="0"/>
          <w:sz w:val="24"/>
        </w:rPr>
        <w:t>El sistema bajo experimento es el pipeline de la actividad anterior: dos microservicios FastAPI instrumentados con OpenTelemetry, PostgreSQL y un Collector que distribuye las tres señales a Jaeger, Prometheus y Loki. El servicio A recibe el checkout y el servicio B reserva inventario con sentencias SQL. Ambos exportan por OTLP a una única dirección, sin conocer el destino final.</w:t>
      </w:r>
    </w:p>
    <w:p>
      <w:pPr>
        <w:spacing w:line="480" w:lineRule="auto" w:before="240"/>
      </w:pPr>
      <w:r>
        <w:rPr>
          <w:rFonts w:ascii="Times New Roman" w:hAnsi="Times New Roman"/>
          <w:b/>
          <w:i w:val="0"/>
          <w:sz w:val="24"/>
        </w:rPr>
        <w:t>Tabla 1</w:t>
      </w:r>
    </w:p>
    <w:p>
      <w:pPr>
        <w:spacing w:line="480" w:lineRule="auto" w:before="0"/>
      </w:pPr>
      <w:r>
        <w:rPr>
          <w:rFonts w:ascii="Times New Roman" w:hAnsi="Times New Roman"/>
          <w:b w:val="0"/>
          <w:i/>
          <w:sz w:val="24"/>
        </w:rPr>
        <w:t>Componentes y dependencias del sistema objetivo</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0"/>
              </w:rPr>
              <w:t>Componente</w:t>
            </w:r>
          </w:p>
        </w:tc>
        <w:tc>
          <w:tcPr>
            <w:tcW w:type="dxa" w:w="3120"/>
          </w:tcPr>
          <w:p>
            <w:pPr>
              <w:spacing w:line="240" w:lineRule="auto"/>
            </w:pPr>
            <w:r>
              <w:rPr>
                <w:rFonts w:ascii="Times New Roman" w:hAnsi="Times New Roman"/>
                <w:b/>
                <w:sz w:val="20"/>
              </w:rPr>
              <w:t>Depende de</w:t>
            </w:r>
          </w:p>
        </w:tc>
        <w:tc>
          <w:tcPr>
            <w:tcW w:type="dxa" w:w="3120"/>
          </w:tcPr>
          <w:p>
            <w:pPr>
              <w:spacing w:line="240" w:lineRule="auto"/>
            </w:pPr>
            <w:r>
              <w:rPr>
                <w:rFonts w:ascii="Times New Roman" w:hAnsi="Times New Roman"/>
                <w:b/>
                <w:sz w:val="20"/>
              </w:rPr>
              <w:t>Efecto de su fallo</w:t>
            </w:r>
          </w:p>
        </w:tc>
      </w:tr>
      <w:tr>
        <w:tc>
          <w:tcPr>
            <w:tcW w:type="dxa" w:w="3120"/>
          </w:tcPr>
          <w:p>
            <w:pPr>
              <w:spacing w:line="240" w:lineRule="auto"/>
            </w:pPr>
            <w:r>
              <w:rPr>
                <w:rFonts w:ascii="Times New Roman" w:hAnsi="Times New Roman"/>
                <w:sz w:val="20"/>
              </w:rPr>
              <w:t>service-a</w:t>
            </w:r>
          </w:p>
        </w:tc>
        <w:tc>
          <w:tcPr>
            <w:tcW w:type="dxa" w:w="3120"/>
          </w:tcPr>
          <w:p>
            <w:pPr>
              <w:spacing w:line="240" w:lineRule="auto"/>
            </w:pPr>
            <w:r>
              <w:rPr>
                <w:rFonts w:ascii="Times New Roman" w:hAnsi="Times New Roman"/>
                <w:sz w:val="20"/>
              </w:rPr>
              <w:t>service-b, Collector</w:t>
            </w:r>
          </w:p>
        </w:tc>
        <w:tc>
          <w:tcPr>
            <w:tcW w:type="dxa" w:w="3120"/>
          </w:tcPr>
          <w:p>
            <w:pPr>
              <w:spacing w:line="240" w:lineRule="auto"/>
            </w:pPr>
            <w:r>
              <w:rPr>
                <w:rFonts w:ascii="Times New Roman" w:hAnsi="Times New Roman"/>
                <w:sz w:val="20"/>
              </w:rPr>
              <w:t>Sin checkout: fallo total del negocio</w:t>
            </w:r>
          </w:p>
        </w:tc>
      </w:tr>
      <w:tr>
        <w:tc>
          <w:tcPr>
            <w:tcW w:type="dxa" w:w="3120"/>
          </w:tcPr>
          <w:p>
            <w:pPr>
              <w:spacing w:line="240" w:lineRule="auto"/>
            </w:pPr>
            <w:r>
              <w:rPr>
                <w:rFonts w:ascii="Times New Roman" w:hAnsi="Times New Roman"/>
                <w:sz w:val="20"/>
              </w:rPr>
              <w:t>service-b</w:t>
            </w:r>
          </w:p>
        </w:tc>
        <w:tc>
          <w:tcPr>
            <w:tcW w:type="dxa" w:w="3120"/>
          </w:tcPr>
          <w:p>
            <w:pPr>
              <w:spacing w:line="240" w:lineRule="auto"/>
            </w:pPr>
            <w:r>
              <w:rPr>
                <w:rFonts w:ascii="Times New Roman" w:hAnsi="Times New Roman"/>
                <w:sz w:val="20"/>
              </w:rPr>
              <w:t>PostgreSQL, Collector</w:t>
            </w:r>
          </w:p>
        </w:tc>
        <w:tc>
          <w:tcPr>
            <w:tcW w:type="dxa" w:w="3120"/>
          </w:tcPr>
          <w:p>
            <w:pPr>
              <w:spacing w:line="240" w:lineRule="auto"/>
            </w:pPr>
            <w:r>
              <w:rPr>
                <w:rFonts w:ascii="Times New Roman" w:hAnsi="Times New Roman"/>
                <w:sz w:val="20"/>
              </w:rPr>
              <w:t>Sin reservas: el checkout falla al final</w:t>
            </w:r>
          </w:p>
        </w:tc>
      </w:tr>
      <w:tr>
        <w:tc>
          <w:tcPr>
            <w:tcW w:type="dxa" w:w="3120"/>
          </w:tcPr>
          <w:p>
            <w:pPr>
              <w:spacing w:line="240" w:lineRule="auto"/>
            </w:pPr>
            <w:r>
              <w:rPr>
                <w:rFonts w:ascii="Times New Roman" w:hAnsi="Times New Roman"/>
                <w:sz w:val="20"/>
              </w:rPr>
              <w:t>PostgreSQL</w:t>
            </w:r>
          </w:p>
        </w:tc>
        <w:tc>
          <w:tcPr>
            <w:tcW w:type="dxa" w:w="3120"/>
          </w:tcPr>
          <w:p>
            <w:pPr>
              <w:spacing w:line="240" w:lineRule="auto"/>
            </w:pPr>
            <w:r>
              <w:rPr>
                <w:rFonts w:ascii="Times New Roman" w:hAnsi="Times New Roman"/>
                <w:sz w:val="20"/>
              </w:rPr>
              <w:t>—</w:t>
            </w:r>
          </w:p>
        </w:tc>
        <w:tc>
          <w:tcPr>
            <w:tcW w:type="dxa" w:w="3120"/>
          </w:tcPr>
          <w:p>
            <w:pPr>
              <w:spacing w:line="240" w:lineRule="auto"/>
            </w:pPr>
            <w:r>
              <w:rPr>
                <w:rFonts w:ascii="Times New Roman" w:hAnsi="Times New Roman"/>
                <w:sz w:val="20"/>
              </w:rPr>
              <w:t>service-b no puede reservar inventario</w:t>
            </w:r>
          </w:p>
        </w:tc>
      </w:tr>
      <w:tr>
        <w:tc>
          <w:tcPr>
            <w:tcW w:type="dxa" w:w="3120"/>
          </w:tcPr>
          <w:p>
            <w:pPr>
              <w:spacing w:line="240" w:lineRule="auto"/>
            </w:pPr>
            <w:r>
              <w:rPr>
                <w:rFonts w:ascii="Times New Roman" w:hAnsi="Times New Roman"/>
                <w:sz w:val="20"/>
              </w:rPr>
              <w:t>Collector</w:t>
            </w:r>
          </w:p>
        </w:tc>
        <w:tc>
          <w:tcPr>
            <w:tcW w:type="dxa" w:w="3120"/>
          </w:tcPr>
          <w:p>
            <w:pPr>
              <w:spacing w:line="240" w:lineRule="auto"/>
            </w:pPr>
            <w:r>
              <w:rPr>
                <w:rFonts w:ascii="Times New Roman" w:hAnsi="Times New Roman"/>
                <w:sz w:val="20"/>
              </w:rPr>
              <w:t>Jaeger, Prometheus, Loki</w:t>
            </w:r>
          </w:p>
        </w:tc>
        <w:tc>
          <w:tcPr>
            <w:tcW w:type="dxa" w:w="3120"/>
          </w:tcPr>
          <w:p>
            <w:pPr>
              <w:spacing w:line="240" w:lineRule="auto"/>
            </w:pPr>
            <w:r>
              <w:rPr>
                <w:rFonts w:ascii="Times New Roman" w:hAnsi="Times New Roman"/>
                <w:sz w:val="20"/>
              </w:rPr>
              <w:t>Pérdida de visibilidad, no de servicio</w:t>
            </w:r>
          </w:p>
        </w:tc>
      </w:tr>
    </w:tbl>
    <w:p>
      <w:pPr>
        <w:spacing w:line="240" w:lineRule="auto" w:before="240"/>
      </w:pPr>
      <w:r>
        <w:rPr>
          <w:rFonts w:ascii="Times New Roman" w:hAnsi="Times New Roman"/>
          <w:b w:val="0"/>
          <w:i w:val="0"/>
          <w:sz w:val="20"/>
        </w:rPr>
        <w:t>Nota. La dependencia hacia el Collector es deliberadamente débil: la telemetría no debe formar parte de la ruta crítica. El experimento 3 pone a prueba precisamente esa afirmación.</w:t>
      </w:r>
    </w:p>
    <w:p>
      <w:pPr>
        <w:spacing w:line="480" w:lineRule="auto" w:before="0"/>
        <w:ind w:firstLine="720"/>
      </w:pPr>
      <w:r>
        <w:rPr>
          <w:rFonts w:ascii="Times New Roman" w:hAnsi="Times New Roman"/>
          <w:b w:val="0"/>
          <w:i w:val="0"/>
          <w:sz w:val="24"/>
        </w:rPr>
        <w:t>El estado estable se define con los cuatro indicadores ya establecidos: disponibilidad superior al 99 %, percentil 95 por debajo de 500 ms, tasa de error inferior al 1 % y caudal mayor que cero. Sin tráfico no hay estado estable que perturbar, así que todos los experimentos generan carga.</w:t>
      </w:r>
    </w:p>
    <w:p>
      <w:pPr>
        <w:spacing w:line="480" w:lineRule="auto" w:before="240"/>
      </w:pPr>
      <w:r>
        <w:rPr>
          <w:rFonts w:ascii="Times New Roman" w:hAnsi="Times New Roman"/>
          <w:b/>
          <w:i w:val="0"/>
          <w:sz w:val="24"/>
        </w:rPr>
        <w:t>Hipótesis de Fallo</w:t>
      </w:r>
    </w:p>
    <w:p>
      <w:pPr>
        <w:spacing w:line="480" w:lineRule="auto" w:before="0"/>
        <w:ind w:firstLine="720"/>
      </w:pPr>
      <w:r>
        <w:rPr>
          <w:rFonts w:ascii="Times New Roman" w:hAnsi="Times New Roman"/>
          <w:b w:val="0"/>
          <w:i w:val="0"/>
          <w:sz w:val="24"/>
        </w:rPr>
        <w:t>Las tres siguen el formato de los Principios del Caos y se apoyan en comportamiento observable: cada una se acepta o rechaza con una consulta concreta sobre las señales que el sistema ya emite.</w:t>
      </w:r>
    </w:p>
    <w:p>
      <w:pPr>
        <w:spacing w:line="480" w:lineRule="auto" w:before="240"/>
      </w:pPr>
      <w:r>
        <w:rPr>
          <w:rFonts w:ascii="Times New Roman" w:hAnsi="Times New Roman"/>
          <w:b/>
          <w:i w:val="0"/>
          <w:sz w:val="24"/>
        </w:rPr>
        <w:t>Hipótesis 1 (latencia).</w:t>
      </w:r>
    </w:p>
    <w:p>
      <w:pPr>
        <w:spacing w:line="480" w:lineRule="auto" w:before="0"/>
        <w:ind w:firstLine="720"/>
      </w:pPr>
      <w:r>
        <w:rPr>
          <w:rFonts w:ascii="Times New Roman" w:hAnsi="Times New Roman"/>
          <w:b w:val="0"/>
          <w:i w:val="0"/>
          <w:sz w:val="24"/>
        </w:rPr>
        <w:t>En estado estable, cuando se inyectan 200 ms de latencia en la red de salida del servicio A, esperamos que el percentil 95 de la latencia de checkout aumente aproximadamente en esa magnitud, que la disponibilidad se mantenga por encima del 99 % y que la traza distribuida localice el retardo en el span del cliente HTTP, no en los spans de negocio ni en los de base de datos.</w:t>
      </w:r>
    </w:p>
    <w:p>
      <w:pPr>
        <w:spacing w:line="480" w:lineRule="auto" w:before="240"/>
      </w:pPr>
      <w:r>
        <w:rPr>
          <w:rFonts w:ascii="Times New Roman" w:hAnsi="Times New Roman"/>
          <w:b/>
          <w:i w:val="0"/>
          <w:sz w:val="24"/>
        </w:rPr>
        <w:t>Hipótesis 2 (agotamiento de recursos).</w:t>
      </w:r>
    </w:p>
    <w:p>
      <w:pPr>
        <w:spacing w:line="480" w:lineRule="auto" w:before="0"/>
        <w:ind w:firstLine="720"/>
      </w:pPr>
      <w:r>
        <w:rPr>
          <w:rFonts w:ascii="Times New Roman" w:hAnsi="Times New Roman"/>
          <w:b w:val="0"/>
          <w:i w:val="0"/>
          <w:sz w:val="24"/>
        </w:rPr>
        <w:t>En estado estable, cuando el conjunto de conexiones del servicio B se reduce por debajo del número de hilos con que el servidor atiende funciones síncronas, esperamos que bajo concurrencia aparezcan errores del lado del servidor, que la tasa de error supere el objetivo del 1 % y que los registros correlacionados permitan atribuir el fallo al módulo de acceso a datos en la petición concreta.</w:t>
      </w:r>
    </w:p>
    <w:p>
      <w:pPr>
        <w:spacing w:line="480" w:lineRule="auto" w:before="240"/>
      </w:pPr>
      <w:r>
        <w:rPr>
          <w:rFonts w:ascii="Times New Roman" w:hAnsi="Times New Roman"/>
          <w:b/>
          <w:i w:val="0"/>
          <w:sz w:val="24"/>
        </w:rPr>
        <w:t>Hipótesis 3 (partición de red).</w:t>
      </w:r>
    </w:p>
    <w:p>
      <w:pPr>
        <w:spacing w:line="480" w:lineRule="auto" w:before="0"/>
        <w:ind w:firstLine="720"/>
      </w:pPr>
      <w:r>
        <w:rPr>
          <w:rFonts w:ascii="Times New Roman" w:hAnsi="Times New Roman"/>
          <w:b w:val="0"/>
          <w:i w:val="0"/>
          <w:sz w:val="24"/>
        </w:rPr>
        <w:t>En estado estable, cuando se corta por completo el tráfico entre el servicio A y el Collector, esperamos que la aplicación siga atendiendo checkouts sin degradación medible, y que la única consecuencia observable sea la ausencia de datos nuevos en los tres backends junto con errores de exportación en los registros del servicio.</w:t>
      </w:r>
    </w:p>
    <w:p>
      <w:pPr>
        <w:spacing w:line="480" w:lineRule="auto" w:before="240"/>
      </w:pPr>
      <w:r>
        <w:rPr>
          <w:rFonts w:ascii="Times New Roman" w:hAnsi="Times New Roman"/>
          <w:b/>
          <w:i w:val="0"/>
          <w:sz w:val="24"/>
        </w:rPr>
        <w:t>Diseño de los Experimentos</w:t>
      </w:r>
    </w:p>
    <w:p>
      <w:pPr>
        <w:spacing w:line="480" w:lineRule="auto" w:before="0"/>
        <w:ind w:firstLine="720"/>
      </w:pPr>
      <w:r>
        <w:rPr>
          <w:rFonts w:ascii="Times New Roman" w:hAnsi="Times New Roman"/>
          <w:b w:val="0"/>
          <w:i w:val="0"/>
          <w:sz w:val="24"/>
        </w:rPr>
        <w:t>Cada experimento delimita su radio de impacto, fija una duración justificada e incorpora reversión automática. La reversión se arma antes de inyectar el fallo, de modo que una interrupción no deje el sistema degradado.</w:t>
      </w:r>
    </w:p>
    <w:p>
      <w:pPr>
        <w:spacing w:line="480" w:lineRule="auto" w:before="240"/>
      </w:pPr>
      <w:r>
        <w:rPr>
          <w:rFonts w:ascii="Times New Roman" w:hAnsi="Times New Roman"/>
          <w:b/>
          <w:i w:val="0"/>
          <w:sz w:val="24"/>
        </w:rPr>
        <w:t>Tabla 2</w:t>
      </w:r>
    </w:p>
    <w:p>
      <w:pPr>
        <w:spacing w:line="480" w:lineRule="auto" w:before="0"/>
      </w:pPr>
      <w:r>
        <w:rPr>
          <w:rFonts w:ascii="Times New Roman" w:hAnsi="Times New Roman"/>
          <w:b w:val="0"/>
          <w:i/>
          <w:sz w:val="24"/>
        </w:rPr>
        <w:t>Diseño de los tres experimentos de caos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0"/>
              </w:rPr>
            </w:r>
          </w:p>
        </w:tc>
        <w:tc>
          <w:tcPr>
            <w:tcW w:type="dxa" w:w="2340"/>
          </w:tcPr>
          <w:p>
            <w:pPr>
              <w:spacing w:line="240" w:lineRule="auto"/>
            </w:pPr>
            <w:r>
              <w:rPr>
                <w:rFonts w:ascii="Times New Roman" w:hAnsi="Times New Roman"/>
                <w:b/>
                <w:sz w:val="20"/>
              </w:rPr>
              <w:t>Experimento 1</w:t>
            </w:r>
          </w:p>
        </w:tc>
        <w:tc>
          <w:tcPr>
            <w:tcW w:type="dxa" w:w="2340"/>
          </w:tcPr>
          <w:p>
            <w:pPr>
              <w:spacing w:line="240" w:lineRule="auto"/>
            </w:pPr>
            <w:r>
              <w:rPr>
                <w:rFonts w:ascii="Times New Roman" w:hAnsi="Times New Roman"/>
                <w:b/>
                <w:sz w:val="20"/>
              </w:rPr>
              <w:t>Experimento 2</w:t>
            </w:r>
          </w:p>
        </w:tc>
        <w:tc>
          <w:tcPr>
            <w:tcW w:type="dxa" w:w="2340"/>
          </w:tcPr>
          <w:p>
            <w:pPr>
              <w:spacing w:line="240" w:lineRule="auto"/>
            </w:pPr>
            <w:r>
              <w:rPr>
                <w:rFonts w:ascii="Times New Roman" w:hAnsi="Times New Roman"/>
                <w:b/>
                <w:sz w:val="20"/>
              </w:rPr>
              <w:t>Experimento 3</w:t>
            </w:r>
          </w:p>
        </w:tc>
      </w:tr>
      <w:tr>
        <w:tc>
          <w:tcPr>
            <w:tcW w:type="dxa" w:w="2340"/>
          </w:tcPr>
          <w:p>
            <w:pPr>
              <w:spacing w:line="240" w:lineRule="auto"/>
            </w:pPr>
            <w:r>
              <w:rPr>
                <w:rFonts w:ascii="Times New Roman" w:hAnsi="Times New Roman"/>
                <w:sz w:val="20"/>
              </w:rPr>
              <w:t>Tipo de fallo</w:t>
            </w:r>
          </w:p>
        </w:tc>
        <w:tc>
          <w:tcPr>
            <w:tcW w:type="dxa" w:w="2340"/>
          </w:tcPr>
          <w:p>
            <w:pPr>
              <w:spacing w:line="240" w:lineRule="auto"/>
            </w:pPr>
            <w:r>
              <w:rPr>
                <w:rFonts w:ascii="Times New Roman" w:hAnsi="Times New Roman"/>
                <w:sz w:val="20"/>
              </w:rPr>
              <w:t>Latencia de red</w:t>
            </w:r>
          </w:p>
        </w:tc>
        <w:tc>
          <w:tcPr>
            <w:tcW w:type="dxa" w:w="2340"/>
          </w:tcPr>
          <w:p>
            <w:pPr>
              <w:spacing w:line="240" w:lineRule="auto"/>
            </w:pPr>
            <w:r>
              <w:rPr>
                <w:rFonts w:ascii="Times New Roman" w:hAnsi="Times New Roman"/>
                <w:sz w:val="20"/>
              </w:rPr>
              <w:t>Agotamiento de recursos</w:t>
            </w:r>
          </w:p>
        </w:tc>
        <w:tc>
          <w:tcPr>
            <w:tcW w:type="dxa" w:w="2340"/>
          </w:tcPr>
          <w:p>
            <w:pPr>
              <w:spacing w:line="240" w:lineRule="auto"/>
            </w:pPr>
            <w:r>
              <w:rPr>
                <w:rFonts w:ascii="Times New Roman" w:hAnsi="Times New Roman"/>
                <w:sz w:val="20"/>
              </w:rPr>
              <w:t>Partición de red</w:t>
            </w:r>
          </w:p>
        </w:tc>
      </w:tr>
      <w:tr>
        <w:tc>
          <w:tcPr>
            <w:tcW w:type="dxa" w:w="2340"/>
          </w:tcPr>
          <w:p>
            <w:pPr>
              <w:spacing w:line="240" w:lineRule="auto"/>
            </w:pPr>
            <w:r>
              <w:rPr>
                <w:rFonts w:ascii="Times New Roman" w:hAnsi="Times New Roman"/>
                <w:sz w:val="20"/>
              </w:rPr>
              <w:t>Herramienta</w:t>
            </w:r>
          </w:p>
        </w:tc>
        <w:tc>
          <w:tcPr>
            <w:tcW w:type="dxa" w:w="2340"/>
          </w:tcPr>
          <w:p>
            <w:pPr>
              <w:spacing w:line="240" w:lineRule="auto"/>
            </w:pPr>
            <w:r>
              <w:rPr>
                <w:rFonts w:ascii="Times New Roman" w:hAnsi="Times New Roman"/>
                <w:sz w:val="20"/>
              </w:rPr>
              <w:t>tc netem</w:t>
            </w:r>
          </w:p>
        </w:tc>
        <w:tc>
          <w:tcPr>
            <w:tcW w:type="dxa" w:w="2340"/>
          </w:tcPr>
          <w:p>
            <w:pPr>
              <w:spacing w:line="240" w:lineRule="auto"/>
            </w:pPr>
            <w:r>
              <w:rPr>
                <w:rFonts w:ascii="Times New Roman" w:hAnsi="Times New Roman"/>
                <w:sz w:val="20"/>
              </w:rPr>
              <w:t>Reconfiguración del pool</w:t>
            </w:r>
          </w:p>
        </w:tc>
        <w:tc>
          <w:tcPr>
            <w:tcW w:type="dxa" w:w="2340"/>
          </w:tcPr>
          <w:p>
            <w:pPr>
              <w:spacing w:line="240" w:lineRule="auto"/>
            </w:pPr>
            <w:r>
              <w:rPr>
                <w:rFonts w:ascii="Times New Roman" w:hAnsi="Times New Roman"/>
                <w:sz w:val="20"/>
              </w:rPr>
              <w:t>tc netem con filtro de puerto</w:t>
            </w:r>
          </w:p>
        </w:tc>
      </w:tr>
      <w:tr>
        <w:tc>
          <w:tcPr>
            <w:tcW w:type="dxa" w:w="2340"/>
          </w:tcPr>
          <w:p>
            <w:pPr>
              <w:spacing w:line="240" w:lineRule="auto"/>
            </w:pPr>
            <w:r>
              <w:rPr>
                <w:rFonts w:ascii="Times New Roman" w:hAnsi="Times New Roman"/>
                <w:sz w:val="20"/>
              </w:rPr>
              <w:t>Radio de impacto</w:t>
            </w:r>
          </w:p>
        </w:tc>
        <w:tc>
          <w:tcPr>
            <w:tcW w:type="dxa" w:w="2340"/>
          </w:tcPr>
          <w:p>
            <w:pPr>
              <w:spacing w:line="240" w:lineRule="auto"/>
            </w:pPr>
            <w:r>
              <w:rPr>
                <w:rFonts w:ascii="Times New Roman" w:hAnsi="Times New Roman"/>
                <w:sz w:val="20"/>
              </w:rPr>
              <w:t>Salida de red del servicio A</w:t>
            </w:r>
          </w:p>
        </w:tc>
        <w:tc>
          <w:tcPr>
            <w:tcW w:type="dxa" w:w="2340"/>
          </w:tcPr>
          <w:p>
            <w:pPr>
              <w:spacing w:line="240" w:lineRule="auto"/>
            </w:pPr>
            <w:r>
              <w:rPr>
                <w:rFonts w:ascii="Times New Roman" w:hAnsi="Times New Roman"/>
                <w:sz w:val="20"/>
              </w:rPr>
              <w:t>Servicio B</w:t>
            </w:r>
          </w:p>
        </w:tc>
        <w:tc>
          <w:tcPr>
            <w:tcW w:type="dxa" w:w="2340"/>
          </w:tcPr>
          <w:p>
            <w:pPr>
              <w:spacing w:line="240" w:lineRule="auto"/>
            </w:pPr>
            <w:r>
              <w:rPr>
                <w:rFonts w:ascii="Times New Roman" w:hAnsi="Times New Roman"/>
                <w:sz w:val="20"/>
              </w:rPr>
              <w:t>Solo el tráfico al puerto 4317</w:t>
            </w:r>
          </w:p>
        </w:tc>
      </w:tr>
      <w:tr>
        <w:tc>
          <w:tcPr>
            <w:tcW w:type="dxa" w:w="2340"/>
          </w:tcPr>
          <w:p>
            <w:pPr>
              <w:spacing w:line="240" w:lineRule="auto"/>
            </w:pPr>
            <w:r>
              <w:rPr>
                <w:rFonts w:ascii="Times New Roman" w:hAnsi="Times New Roman"/>
                <w:sz w:val="20"/>
              </w:rPr>
              <w:t>Duración</w:t>
            </w:r>
          </w:p>
        </w:tc>
        <w:tc>
          <w:tcPr>
            <w:tcW w:type="dxa" w:w="2340"/>
          </w:tcPr>
          <w:p>
            <w:pPr>
              <w:spacing w:line="240" w:lineRule="auto"/>
            </w:pPr>
            <w:r>
              <w:rPr>
                <w:rFonts w:ascii="Times New Roman" w:hAnsi="Times New Roman"/>
                <w:sz w:val="20"/>
              </w:rPr>
              <w:t>120 s</w:t>
            </w:r>
          </w:p>
        </w:tc>
        <w:tc>
          <w:tcPr>
            <w:tcW w:type="dxa" w:w="2340"/>
          </w:tcPr>
          <w:p>
            <w:pPr>
              <w:spacing w:line="240" w:lineRule="auto"/>
            </w:pPr>
            <w:r>
              <w:rPr>
                <w:rFonts w:ascii="Times New Roman" w:hAnsi="Times New Roman"/>
                <w:sz w:val="20"/>
              </w:rPr>
              <w:t>90 s</w:t>
            </w:r>
          </w:p>
        </w:tc>
        <w:tc>
          <w:tcPr>
            <w:tcW w:type="dxa" w:w="2340"/>
          </w:tcPr>
          <w:p>
            <w:pPr>
              <w:spacing w:line="240" w:lineRule="auto"/>
            </w:pPr>
            <w:r>
              <w:rPr>
                <w:rFonts w:ascii="Times New Roman" w:hAnsi="Times New Roman"/>
                <w:sz w:val="20"/>
              </w:rPr>
              <w:t>90 s</w:t>
            </w:r>
          </w:p>
        </w:tc>
      </w:tr>
      <w:tr>
        <w:tc>
          <w:tcPr>
            <w:tcW w:type="dxa" w:w="2340"/>
          </w:tcPr>
          <w:p>
            <w:pPr>
              <w:spacing w:line="240" w:lineRule="auto"/>
            </w:pPr>
            <w:r>
              <w:rPr>
                <w:rFonts w:ascii="Times New Roman" w:hAnsi="Times New Roman"/>
                <w:sz w:val="20"/>
              </w:rPr>
              <w:t>Justificación</w:t>
            </w:r>
          </w:p>
        </w:tc>
        <w:tc>
          <w:tcPr>
            <w:tcW w:type="dxa" w:w="2340"/>
          </w:tcPr>
          <w:p>
            <w:pPr>
              <w:spacing w:line="240" w:lineRule="auto"/>
            </w:pPr>
            <w:r>
              <w:rPr>
                <w:rFonts w:ascii="Times New Roman" w:hAnsi="Times New Roman"/>
                <w:sz w:val="20"/>
              </w:rPr>
              <w:t>Dos ventanas de raspado de métricas</w:t>
            </w:r>
          </w:p>
        </w:tc>
        <w:tc>
          <w:tcPr>
            <w:tcW w:type="dxa" w:w="2340"/>
          </w:tcPr>
          <w:p>
            <w:pPr>
              <w:spacing w:line="240" w:lineRule="auto"/>
            </w:pPr>
            <w:r>
              <w:rPr>
                <w:rFonts w:ascii="Times New Roman" w:hAnsi="Times New Roman"/>
                <w:sz w:val="20"/>
              </w:rPr>
              <w:t>Suficiente para saturar el conjunto</w:t>
            </w:r>
          </w:p>
        </w:tc>
        <w:tc>
          <w:tcPr>
            <w:tcW w:type="dxa" w:w="2340"/>
          </w:tcPr>
          <w:p>
            <w:pPr>
              <w:spacing w:line="240" w:lineRule="auto"/>
            </w:pPr>
            <w:r>
              <w:rPr>
                <w:rFonts w:ascii="Times New Roman" w:hAnsi="Times New Roman"/>
                <w:sz w:val="20"/>
              </w:rPr>
              <w:t>Más del doble del reintento del exportador</w:t>
            </w:r>
          </w:p>
        </w:tc>
      </w:tr>
      <w:tr>
        <w:tc>
          <w:tcPr>
            <w:tcW w:type="dxa" w:w="2340"/>
          </w:tcPr>
          <w:p>
            <w:pPr>
              <w:spacing w:line="240" w:lineRule="auto"/>
            </w:pPr>
            <w:r>
              <w:rPr>
                <w:rFonts w:ascii="Times New Roman" w:hAnsi="Times New Roman"/>
                <w:sz w:val="20"/>
              </w:rPr>
              <w:t>Reversión</w:t>
            </w:r>
          </w:p>
        </w:tc>
        <w:tc>
          <w:tcPr>
            <w:tcW w:type="dxa" w:w="2340"/>
          </w:tcPr>
          <w:p>
            <w:pPr>
              <w:spacing w:line="240" w:lineRule="auto"/>
            </w:pPr>
            <w:r>
              <w:rPr>
                <w:rFonts w:ascii="Times New Roman" w:hAnsi="Times New Roman"/>
                <w:sz w:val="20"/>
              </w:rPr>
              <w:t>trap retira la regla y verifica</w:t>
            </w:r>
          </w:p>
        </w:tc>
        <w:tc>
          <w:tcPr>
            <w:tcW w:type="dxa" w:w="2340"/>
          </w:tcPr>
          <w:p>
            <w:pPr>
              <w:spacing w:line="240" w:lineRule="auto"/>
            </w:pPr>
            <w:r>
              <w:rPr>
                <w:rFonts w:ascii="Times New Roman" w:hAnsi="Times New Roman"/>
                <w:sz w:val="20"/>
              </w:rPr>
              <w:t>trap restaura el pool y reinicia</w:t>
            </w:r>
          </w:p>
        </w:tc>
        <w:tc>
          <w:tcPr>
            <w:tcW w:type="dxa" w:w="2340"/>
          </w:tcPr>
          <w:p>
            <w:pPr>
              <w:spacing w:line="240" w:lineRule="auto"/>
            </w:pPr>
            <w:r>
              <w:rPr>
                <w:rFonts w:ascii="Times New Roman" w:hAnsi="Times New Roman"/>
                <w:sz w:val="20"/>
              </w:rPr>
              <w:t>trap retira el filtro y verifica</w:t>
            </w:r>
          </w:p>
        </w:tc>
      </w:tr>
    </w:tbl>
    <w:p>
      <w:pPr>
        <w:spacing w:line="240" w:lineRule="auto" w:before="240"/>
      </w:pPr>
      <w:r>
        <w:rPr>
          <w:rFonts w:ascii="Times New Roman" w:hAnsi="Times New Roman"/>
          <w:b w:val="0"/>
          <w:i w:val="0"/>
          <w:sz w:val="20"/>
        </w:rPr>
        <w:t>Nota. El caos se inyecta desde un contenedor efímero que comparte la pila de red del objetivo, sin modificar las imágenes del sistema. Así el sistema bajo experimento es el mismo que se ejecuta normalmente, y no una variante preparada para ser atacada.</w:t>
      </w:r>
    </w:p>
    <w:p>
      <w:pPr>
        <w:spacing w:line="480" w:lineRule="auto" w:before="0"/>
        <w:ind w:firstLine="720"/>
      </w:pPr>
      <w:r>
        <w:rPr>
          <w:rFonts w:ascii="Times New Roman" w:hAnsi="Times New Roman"/>
          <w:b w:val="0"/>
          <w:i w:val="0"/>
          <w:sz w:val="24"/>
        </w:rPr>
        <w:t>El experimento 2 merece una precisión metodológica: no es especulativo. Ese fallo ocurrió realmente durante el análisis de sobrecosto de la actividad anterior, con más de once mil excepciones en una sola corrida, e invalidó la medición hasta corregirlo. Persigue por tanto dos objetivos declarados: reproducir de forma controlada un fallo real documentado y verificar que la corrección resiste las condiciones que provocaron el incidente. Validar una remediación bajo el escenario que la motivó es práctica reconocida, y más honesto que fingir desconocer el resultado.</w:t>
      </w:r>
    </w:p>
    <w:p>
      <w:pPr>
        <w:spacing w:line="480" w:lineRule="auto" w:before="240"/>
      </w:pPr>
      <w:r>
        <w:rPr>
          <w:rFonts w:ascii="Times New Roman" w:hAnsi="Times New Roman"/>
          <w:b/>
          <w:i w:val="0"/>
          <w:sz w:val="24"/>
        </w:rPr>
        <w:t>Métricas de Observabilidad</w:t>
      </w:r>
    </w:p>
    <w:p>
      <w:pPr>
        <w:spacing w:line="480" w:lineRule="auto" w:before="0"/>
        <w:ind w:firstLine="720"/>
      </w:pPr>
      <w:r>
        <w:rPr>
          <w:rFonts w:ascii="Times New Roman" w:hAnsi="Times New Roman"/>
          <w:b w:val="0"/>
          <w:i w:val="0"/>
          <w:sz w:val="24"/>
        </w:rPr>
        <w:t>Cada hipótesis se valida con un indicador principal y se confirma con las señales existentes. No se añade instrumentación para el Game Day: necesitarla sería, en sí mismo, un hallazgo sobre la observabilidad del sistema.</w:t>
      </w:r>
    </w:p>
    <w:p>
      <w:pPr>
        <w:spacing w:line="480" w:lineRule="auto" w:before="240"/>
      </w:pPr>
      <w:r>
        <w:rPr>
          <w:rFonts w:ascii="Times New Roman" w:hAnsi="Times New Roman"/>
          <w:b/>
          <w:i w:val="0"/>
          <w:sz w:val="24"/>
        </w:rPr>
        <w:t>Tabla 3</w:t>
      </w:r>
    </w:p>
    <w:p>
      <w:pPr>
        <w:spacing w:line="480" w:lineRule="auto" w:before="0"/>
      </w:pPr>
      <w:r>
        <w:rPr>
          <w:rFonts w:ascii="Times New Roman" w:hAnsi="Times New Roman"/>
          <w:b w:val="0"/>
          <w:i/>
          <w:sz w:val="24"/>
        </w:rPr>
        <w:t>Señales que validan cada hipótesis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0"/>
              </w:rPr>
              <w:t>Hipótesis</w:t>
            </w:r>
          </w:p>
        </w:tc>
        <w:tc>
          <w:tcPr>
            <w:tcW w:type="dxa" w:w="2340"/>
          </w:tcPr>
          <w:p>
            <w:pPr>
              <w:spacing w:line="240" w:lineRule="auto"/>
            </w:pPr>
            <w:r>
              <w:rPr>
                <w:rFonts w:ascii="Times New Roman" w:hAnsi="Times New Roman"/>
                <w:b/>
                <w:sz w:val="20"/>
              </w:rPr>
              <w:t>SLI principal</w:t>
            </w:r>
          </w:p>
        </w:tc>
        <w:tc>
          <w:tcPr>
            <w:tcW w:type="dxa" w:w="2340"/>
          </w:tcPr>
          <w:p>
            <w:pPr>
              <w:spacing w:line="240" w:lineRule="auto"/>
            </w:pPr>
            <w:r>
              <w:rPr>
                <w:rFonts w:ascii="Times New Roman" w:hAnsi="Times New Roman"/>
                <w:b/>
                <w:sz w:val="20"/>
              </w:rPr>
              <w:t>Trazas</w:t>
            </w:r>
          </w:p>
        </w:tc>
        <w:tc>
          <w:tcPr>
            <w:tcW w:type="dxa" w:w="2340"/>
          </w:tcPr>
          <w:p>
            <w:pPr>
              <w:spacing w:line="240" w:lineRule="auto"/>
            </w:pPr>
            <w:r>
              <w:rPr>
                <w:rFonts w:ascii="Times New Roman" w:hAnsi="Times New Roman"/>
                <w:b/>
                <w:sz w:val="20"/>
              </w:rPr>
              <w:t>Registros y métricas</w:t>
            </w:r>
          </w:p>
        </w:tc>
      </w:tr>
      <w:tr>
        <w:tc>
          <w:tcPr>
            <w:tcW w:type="dxa" w:w="2340"/>
          </w:tcPr>
          <w:p>
            <w:pPr>
              <w:spacing w:line="240" w:lineRule="auto"/>
            </w:pPr>
            <w:r>
              <w:rPr>
                <w:rFonts w:ascii="Times New Roman" w:hAnsi="Times New Roman"/>
                <w:sz w:val="20"/>
              </w:rPr>
              <w:t>1 · Latencia</w:t>
            </w:r>
          </w:p>
        </w:tc>
        <w:tc>
          <w:tcPr>
            <w:tcW w:type="dxa" w:w="2340"/>
          </w:tcPr>
          <w:p>
            <w:pPr>
              <w:spacing w:line="240" w:lineRule="auto"/>
            </w:pPr>
            <w:r>
              <w:rPr>
                <w:rFonts w:ascii="Times New Roman" w:hAnsi="Times New Roman"/>
                <w:sz w:val="20"/>
              </w:rPr>
              <w:t>Percentil 95 de checkout</w:t>
            </w:r>
          </w:p>
        </w:tc>
        <w:tc>
          <w:tcPr>
            <w:tcW w:type="dxa" w:w="2340"/>
          </w:tcPr>
          <w:p>
            <w:pPr>
              <w:spacing w:line="240" w:lineRule="auto"/>
            </w:pPr>
            <w:r>
              <w:rPr>
                <w:rFonts w:ascii="Times New Roman" w:hAnsi="Times New Roman"/>
                <w:sz w:val="20"/>
              </w:rPr>
              <w:t>El span cliente HTTP concentra el retardo</w:t>
            </w:r>
          </w:p>
        </w:tc>
        <w:tc>
          <w:tcPr>
            <w:tcW w:type="dxa" w:w="2340"/>
          </w:tcPr>
          <w:p>
            <w:pPr>
              <w:spacing w:line="240" w:lineRule="auto"/>
            </w:pPr>
            <w:r>
              <w:rPr>
                <w:rFonts w:ascii="Times New Roman" w:hAnsi="Times New Roman"/>
                <w:sz w:val="20"/>
              </w:rPr>
              <w:t>Histograma de duración por estado</w:t>
            </w:r>
          </w:p>
        </w:tc>
      </w:tr>
      <w:tr>
        <w:tc>
          <w:tcPr>
            <w:tcW w:type="dxa" w:w="2340"/>
          </w:tcPr>
          <w:p>
            <w:pPr>
              <w:spacing w:line="240" w:lineRule="auto"/>
            </w:pPr>
            <w:r>
              <w:rPr>
                <w:rFonts w:ascii="Times New Roman" w:hAnsi="Times New Roman"/>
                <w:sz w:val="20"/>
              </w:rPr>
              <w:t>2 · Recursos</w:t>
            </w:r>
          </w:p>
        </w:tc>
        <w:tc>
          <w:tcPr>
            <w:tcW w:type="dxa" w:w="2340"/>
          </w:tcPr>
          <w:p>
            <w:pPr>
              <w:spacing w:line="240" w:lineRule="auto"/>
            </w:pPr>
            <w:r>
              <w:rPr>
                <w:rFonts w:ascii="Times New Roman" w:hAnsi="Times New Roman"/>
                <w:sz w:val="20"/>
              </w:rPr>
              <w:t>Tasa de error</w:t>
            </w:r>
          </w:p>
        </w:tc>
        <w:tc>
          <w:tcPr>
            <w:tcW w:type="dxa" w:w="2340"/>
          </w:tcPr>
          <w:p>
            <w:pPr>
              <w:spacing w:line="240" w:lineRule="auto"/>
            </w:pPr>
            <w:r>
              <w:rPr>
                <w:rFonts w:ascii="Times New Roman" w:hAnsi="Times New Roman"/>
                <w:sz w:val="20"/>
              </w:rPr>
              <w:t>Span de reserva en estado de error</w:t>
            </w:r>
          </w:p>
        </w:tc>
        <w:tc>
          <w:tcPr>
            <w:tcW w:type="dxa" w:w="2340"/>
          </w:tcPr>
          <w:p>
            <w:pPr>
              <w:spacing w:line="240" w:lineRule="auto"/>
            </w:pPr>
            <w:r>
              <w:rPr>
                <w:rFonts w:ascii="Times New Roman" w:hAnsi="Times New Roman"/>
                <w:sz w:val="20"/>
              </w:rPr>
              <w:t>Registros con el identificador de traza y la excepción</w:t>
            </w:r>
          </w:p>
        </w:tc>
      </w:tr>
      <w:tr>
        <w:tc>
          <w:tcPr>
            <w:tcW w:type="dxa" w:w="2340"/>
          </w:tcPr>
          <w:p>
            <w:pPr>
              <w:spacing w:line="240" w:lineRule="auto"/>
            </w:pPr>
            <w:r>
              <w:rPr>
                <w:rFonts w:ascii="Times New Roman" w:hAnsi="Times New Roman"/>
                <w:sz w:val="20"/>
              </w:rPr>
              <w:t>3 · Partición</w:t>
            </w:r>
          </w:p>
        </w:tc>
        <w:tc>
          <w:tcPr>
            <w:tcW w:type="dxa" w:w="2340"/>
          </w:tcPr>
          <w:p>
            <w:pPr>
              <w:spacing w:line="240" w:lineRule="auto"/>
            </w:pPr>
            <w:r>
              <w:rPr>
                <w:rFonts w:ascii="Times New Roman" w:hAnsi="Times New Roman"/>
                <w:sz w:val="20"/>
              </w:rPr>
              <w:t>Disponibilidad (sin cambio esperado)</w:t>
            </w:r>
          </w:p>
        </w:tc>
        <w:tc>
          <w:tcPr>
            <w:tcW w:type="dxa" w:w="2340"/>
          </w:tcPr>
          <w:p>
            <w:pPr>
              <w:spacing w:line="240" w:lineRule="auto"/>
            </w:pPr>
            <w:r>
              <w:rPr>
                <w:rFonts w:ascii="Times New Roman" w:hAnsi="Times New Roman"/>
                <w:sz w:val="20"/>
              </w:rPr>
              <w:t>Ausencia de trazas nuevas</w:t>
            </w:r>
          </w:p>
        </w:tc>
        <w:tc>
          <w:tcPr>
            <w:tcW w:type="dxa" w:w="2340"/>
          </w:tcPr>
          <w:p>
            <w:pPr>
              <w:spacing w:line="240" w:lineRule="auto"/>
            </w:pPr>
            <w:r>
              <w:rPr>
                <w:rFonts w:ascii="Times New Roman" w:hAnsi="Times New Roman"/>
                <w:sz w:val="20"/>
              </w:rPr>
              <w:t>Errores de exportación; caída de métricas del Collector</w:t>
            </w:r>
          </w:p>
        </w:tc>
      </w:tr>
    </w:tbl>
    <w:p>
      <w:pPr>
        <w:spacing w:line="240" w:lineRule="auto" w:before="240"/>
      </w:pPr>
      <w:r>
        <w:rPr>
          <w:rFonts w:ascii="Times New Roman" w:hAnsi="Times New Roman"/>
          <w:b w:val="0"/>
          <w:i w:val="0"/>
          <w:sz w:val="20"/>
        </w:rPr>
        <w:t>Nota. La correlación por identificador de traza, verificada en la actividad anterior, es lo que permite pasar del indicador agregado a la petición concreta que lo produjo.</w:t>
      </w:r>
    </w:p>
    <w:p>
      <w:pPr>
        <w:spacing w:line="480" w:lineRule="auto" w:before="240"/>
      </w:pPr>
      <w:r>
        <w:rPr>
          <w:rFonts w:ascii="Times New Roman" w:hAnsi="Times New Roman"/>
          <w:b/>
          <w:i w:val="0"/>
          <w:sz w:val="24"/>
        </w:rPr>
        <w:t>Ejecución</w:t>
      </w:r>
    </w:p>
    <w:p>
      <w:pPr>
        <w:spacing w:line="480" w:lineRule="auto" w:before="0"/>
        <w:ind w:firstLine="720"/>
      </w:pPr>
      <w:r>
        <w:rPr>
          <w:rFonts w:ascii="Times New Roman" w:hAnsi="Times New Roman"/>
          <w:b/>
          <w:i w:val="0"/>
          <w:sz w:val="24"/>
        </w:rPr>
        <w:t>PENDIENTE. Programada para el miércoles 26 de agosto de 2026. Se ejecutará al menos el experimento 1, por ser el que emplea la herramienta indicada en la actividad, y los resultados, capturas y registros se recogerán en el anexo de evidencias, en documento aparte.</w:t>
      </w:r>
    </w:p>
    <w:p>
      <w:pPr>
        <w:spacing w:line="480" w:lineRule="auto" w:before="0"/>
        <w:ind w:firstLine="720"/>
      </w:pPr>
      <w:r>
        <w:rPr>
          <w:rFonts w:ascii="Times New Roman" w:hAnsi="Times New Roman"/>
          <w:b w:val="0"/>
          <w:i w:val="0"/>
          <w:sz w:val="24"/>
        </w:rPr>
        <w:t>Los prerequisitos están construidos y verificados: los guiones de los tres experimentos, la biblioteca común de inyección y reversión, y una comprobación previa que valida el stack, la herramienta de red y —lo más importante— que la reversión retira efectivamente la regla inyectada. Esa comprobación se ejecutó y quedó en verde.</w:t>
      </w:r>
    </w:p>
    <w:p>
      <w:pPr>
        <w:spacing w:line="480" w:lineRule="auto" w:before="240"/>
      </w:pPr>
      <w:r>
        <w:rPr>
          <w:rFonts w:ascii="Times New Roman" w:hAnsi="Times New Roman"/>
          <w:b/>
          <w:i w:val="0"/>
          <w:sz w:val="24"/>
        </w:rPr>
        <w:t>Resultados y Reflexión</w:t>
      </w:r>
    </w:p>
    <w:p>
      <w:pPr>
        <w:spacing w:line="480" w:lineRule="auto" w:before="0"/>
        <w:ind w:firstLine="720"/>
      </w:pPr>
      <w:r>
        <w:rPr>
          <w:rFonts w:ascii="Times New Roman" w:hAnsi="Times New Roman"/>
          <w:b/>
          <w:i w:val="0"/>
          <w:sz w:val="24"/>
        </w:rPr>
        <w:t>PENDIENTE hasta la ejecución. Este apartado comparará el resultado esperado frente al observado para cada hipótesis, identificará la debilidad sistémica revelada y propondrá remediaciones concretas.</w:t>
      </w:r>
    </w:p>
    <w:p>
      <w:r>
        <w:br w:type="page"/>
      </w:r>
    </w:p>
    <w:p>
      <w:pPr>
        <w:spacing w:line="480" w:lineRule="auto" w:before="0"/>
        <w:jc w:val="center"/>
      </w:pPr>
      <w:r>
        <w:rPr>
          <w:rFonts w:ascii="Times New Roman" w:hAnsi="Times New Roman"/>
          <w:b/>
          <w:i w:val="0"/>
          <w:sz w:val="24"/>
        </w:rPr>
        <w:t>Referencias</w:t>
      </w:r>
    </w:p>
    <w:p>
      <w:pPr>
        <w:spacing w:line="480" w:lineRule="auto" w:before="0"/>
        <w:ind w:left="720" w:hanging="720"/>
      </w:pPr>
      <w:r>
        <w:rPr>
          <w:rFonts w:ascii="Times New Roman" w:hAnsi="Times New Roman"/>
          <w:b w:val="0"/>
          <w:i w:val="0"/>
          <w:sz w:val="24"/>
        </w:rPr>
        <w:t>Basiri, A., Behnam, N., de Rooij, R., Hochstein, L., Kosewski, L., Reynolds, J., &amp; Rosenthal, C. (2016). Chaos engineering. IEEE Software, 33(3), 35–41. https://doi.org/10.1109/MS.2016.60</w:t>
      </w:r>
    </w:p>
    <w:p>
      <w:pPr>
        <w:spacing w:line="480" w:lineRule="auto" w:before="0"/>
        <w:ind w:left="720" w:hanging="720"/>
      </w:pPr>
      <w:r>
        <w:rPr>
          <w:rFonts w:ascii="Times New Roman" w:hAnsi="Times New Roman"/>
          <w:b w:val="0"/>
          <w:i w:val="0"/>
          <w:sz w:val="24"/>
        </w:rPr>
        <w:t>Beyer, B., Murphy, N. R., Rensin, D. K., Kawahara, K., &amp; Thorne, S. (2018). The site reliability workbook: Practical ways to implement SRE. O'Reilly Media.</w:t>
      </w:r>
    </w:p>
    <w:p>
      <w:pPr>
        <w:spacing w:line="480" w:lineRule="auto" w:before="0"/>
        <w:ind w:left="720" w:hanging="720"/>
      </w:pPr>
      <w:r>
        <w:rPr>
          <w:rFonts w:ascii="Times New Roman" w:hAnsi="Times New Roman"/>
          <w:b w:val="0"/>
          <w:i w:val="0"/>
          <w:sz w:val="24"/>
        </w:rPr>
        <w:t>OpenTelemetry Authors. (2025). OpenTelemetry documentation. Cloud Native Computing Foundation. https://opentelemetry.io/docs/</w:t>
      </w:r>
    </w:p>
    <w:p>
      <w:pPr>
        <w:spacing w:line="480" w:lineRule="auto" w:before="0"/>
        <w:ind w:left="720" w:hanging="720"/>
      </w:pPr>
      <w:r>
        <w:rPr>
          <w:rFonts w:ascii="Times New Roman" w:hAnsi="Times New Roman"/>
          <w:b w:val="0"/>
          <w:i w:val="0"/>
          <w:sz w:val="24"/>
        </w:rPr>
        <w:t>Rosenthal, C., &amp; Jones, N. (2020). Chaos engineering: System resiliency in practice. O'Reilly Media.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