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jc w:val="center"/>
      </w:pPr>
      <w:r>
        <w:rPr>
          <w:rFonts w:ascii="Times New Roman" w:hAnsi="Times New Roman"/>
          <w:b/>
          <w:i w:val="0"/>
          <w:sz w:val="24"/>
        </w:rPr>
        <w:t>Plan de Game Day: experimentos de caos sobre un pipeline de observabilidad con OpenTelemetry</w:t>
      </w:r>
    </w:p>
    <w:p>
      <w:pPr>
        <w:spacing w:line="360" w:lineRule="auto" w:before="0"/>
        <w:jc w:val="center"/>
      </w:pPr>
      <w:r>
        <w:rPr>
          <w:rFonts w:ascii="Times New Roman" w:hAnsi="Times New Roman"/>
          <w:b w:val="0"/>
          <w:i w:val="0"/>
          <w:sz w:val="24"/>
        </w:rPr>
        <w:t>Fredy Orlando Pulido Quintero</w:t>
      </w:r>
    </w:p>
    <w:p>
      <w:pPr>
        <w:spacing w:line="360" w:lineRule="auto" w:before="0"/>
        <w:jc w:val="center"/>
      </w:pPr>
      <w:r>
        <w:rPr>
          <w:rFonts w:ascii="Times New Roman" w:hAnsi="Times New Roman"/>
          <w:b w:val="0"/>
          <w:i w:val="0"/>
          <w:sz w:val="24"/>
        </w:rPr>
        <w:t>Myriam Andrea Martínez Fontecha</w:t>
      </w:r>
    </w:p>
    <w:p>
      <w:pPr>
        <w:spacing w:line="360" w:lineRule="auto" w:before="0"/>
        <w:jc w:val="center"/>
      </w:pPr>
      <w:r>
        <w:rPr>
          <w:rFonts w:ascii="Times New Roman" w:hAnsi="Times New Roman"/>
          <w:b w:val="0"/>
          <w:i w:val="0"/>
          <w:sz w:val="24"/>
        </w:rPr>
        <w:t>Juan Francisco Javier Pérez Rivero</w:t>
      </w:r>
    </w:p>
    <w:p>
      <w:pPr>
        <w:spacing w:line="360" w:lineRule="auto" w:before="0"/>
        <w:jc w:val="center"/>
      </w:pPr>
      <w:r>
        <w:rPr>
          <w:rFonts w:ascii="Times New Roman" w:hAnsi="Times New Roman"/>
          <w:b w:val="0"/>
          <w:i w:val="0"/>
          <w:sz w:val="24"/>
        </w:rPr>
        <w:t>Nicolás Felipe Torres Amaya</w:t>
      </w:r>
    </w:p>
    <w:p>
      <w:pPr>
        <w:spacing w:line="360" w:lineRule="auto" w:before="0"/>
        <w:jc w:val="center"/>
      </w:pPr>
      <w:r>
        <w:rPr>
          <w:rFonts w:ascii="Times New Roman" w:hAnsi="Times New Roman"/>
          <w:b w:val="0"/>
          <w:i w:val="0"/>
          <w:sz w:val="24"/>
        </w:rPr>
        <w:t>Maestría en Arquitectura de Software</w:t>
      </w:r>
    </w:p>
    <w:p>
      <w:pPr>
        <w:spacing w:line="360" w:lineRule="auto" w:before="0"/>
        <w:jc w:val="center"/>
      </w:pPr>
      <w:r>
        <w:rPr>
          <w:rFonts w:ascii="Times New Roman" w:hAnsi="Times New Roman"/>
          <w:b w:val="0"/>
          <w:i w:val="0"/>
          <w:sz w:val="24"/>
        </w:rPr>
        <w:t>MASS – OBAP20264: Observabilidad en Ambientes Productivos</w:t>
      </w:r>
    </w:p>
    <w:p>
      <w:pPr>
        <w:spacing w:line="360" w:lineRule="auto" w:before="0"/>
        <w:jc w:val="center"/>
      </w:pPr>
      <w:r>
        <w:rPr>
          <w:rFonts w:ascii="Times New Roman" w:hAnsi="Times New Roman"/>
          <w:b w:val="0"/>
          <w:i w:val="0"/>
          <w:sz w:val="24"/>
        </w:rPr>
        <w:t>Maria Fernanda Ochoa Paipilla</w:t>
      </w:r>
    </w:p>
    <w:p>
      <w:pPr>
        <w:spacing w:line="360" w:lineRule="auto" w:before="0"/>
        <w:jc w:val="center"/>
      </w:pPr>
      <w:r>
        <w:rPr>
          <w:rFonts w:ascii="Times New Roman" w:hAnsi="Times New Roman"/>
          <w:b w:val="0"/>
          <w:i w:val="0"/>
          <w:sz w:val="24"/>
        </w:rPr>
        <w:t>26 de agosto de 2026</w:t>
      </w:r>
    </w:p>
    <w:p>
      <w:pPr>
        <w:spacing w:line="360" w:lineRule="auto" w:before="240"/>
      </w:pPr>
      <w:r>
        <w:rPr>
          <w:rFonts w:ascii="Times New Roman" w:hAnsi="Times New Roman"/>
          <w:b/>
          <w:i w:val="0"/>
          <w:sz w:val="24"/>
        </w:rPr>
        <w:t>Arquitectura Objetivo</w:t>
      </w:r>
    </w:p>
    <w:p>
      <w:pPr>
        <w:spacing w:line="360" w:lineRule="auto" w:before="0"/>
        <w:ind w:firstLine="720"/>
      </w:pPr>
      <w:r>
        <w:rPr>
          <w:rFonts w:ascii="Times New Roman" w:hAnsi="Times New Roman"/>
          <w:b w:val="0"/>
          <w:i w:val="0"/>
          <w:sz w:val="24"/>
        </w:rPr>
        <w:t>El sistema es el pipeline de la actividad anterior: dos microservicios FastAPI instrumentados con OpenTelemetry, PostgreSQL y un Collector que distribuye las tres señales a Jaeger, Prometheus y Loki. El servicio A recibe el checkout y el servicio B reserva inventario con sentencias SQL.</w:t>
      </w:r>
    </w:p>
    <w:p>
      <w:pPr>
        <w:spacing w:line="360" w:lineRule="auto" w:before="0"/>
        <w:ind w:firstLine="720"/>
      </w:pPr>
      <w:r>
        <w:rPr>
          <w:rFonts w:ascii="Times New Roman" w:hAnsi="Times New Roman"/>
          <w:b w:val="0"/>
          <w:i w:val="0"/>
          <w:sz w:val="24"/>
        </w:rPr>
        <w:t>El servicio A depende del B y este de PostgreSQL, así que una degradación aguas abajo alcanza al checkout. La dependencia hacia el Collector es, en cambio, deliberadamente débil: la telemetría no debe estar en la ruta crítica, y el experimento 3 pone a prueba esa afirmación.</w:t>
      </w:r>
    </w:p>
    <w:p>
      <w:pPr>
        <w:spacing w:line="360" w:lineRule="auto" w:before="0"/>
        <w:ind w:firstLine="720"/>
      </w:pPr>
      <w:r>
        <w:rPr>
          <w:rFonts w:ascii="Times New Roman" w:hAnsi="Times New Roman"/>
          <w:b w:val="0"/>
          <w:i w:val="0"/>
          <w:sz w:val="24"/>
        </w:rPr>
        <w:t>El estado estable se define con los cuatro indicadores ya establecidos: disponibilidad superior al 99 %, percentil 95 por debajo de 500 ms, tasa de error inferior al 1 % y caudal mayor que cero. Sin tráfico no hay estado estable que perturbar, así que todos los experimentos generan carga.</w:t>
      </w:r>
    </w:p>
    <w:p>
      <w:pPr>
        <w:spacing w:line="360" w:lineRule="auto" w:before="240"/>
      </w:pPr>
      <w:r>
        <w:rPr>
          <w:rFonts w:ascii="Times New Roman" w:hAnsi="Times New Roman"/>
          <w:b/>
          <w:i w:val="0"/>
          <w:sz w:val="24"/>
        </w:rPr>
        <w:t>Hipótesis de Fallo</w:t>
      </w:r>
    </w:p>
    <w:p>
      <w:pPr>
        <w:spacing w:line="360" w:lineRule="auto" w:before="0"/>
        <w:ind w:firstLine="720"/>
      </w:pPr>
      <w:r>
        <w:rPr>
          <w:rFonts w:ascii="Times New Roman" w:hAnsi="Times New Roman"/>
          <w:b w:val="0"/>
          <w:i w:val="0"/>
          <w:sz w:val="24"/>
        </w:rPr>
        <w:t>Siguen el formato de los Principios del Caos y se apoyan en comportamiento observable: cada una se acepta o rechaza con una consulta concreta.</w:t>
      </w:r>
    </w:p>
    <w:p>
      <w:pPr>
        <w:spacing w:line="360" w:lineRule="auto" w:before="240"/>
      </w:pPr>
      <w:r>
        <w:rPr>
          <w:rFonts w:ascii="Times New Roman" w:hAnsi="Times New Roman"/>
          <w:b/>
          <w:i w:val="0"/>
          <w:sz w:val="24"/>
        </w:rPr>
        <w:t>Hipótesis 1 (latencia).</w:t>
      </w:r>
    </w:p>
    <w:p>
      <w:pPr>
        <w:spacing w:line="360" w:lineRule="auto" w:before="0"/>
        <w:ind w:firstLine="720"/>
      </w:pPr>
      <w:r>
        <w:rPr>
          <w:rFonts w:ascii="Times New Roman" w:hAnsi="Times New Roman"/>
          <w:b w:val="0"/>
          <w:i w:val="0"/>
          <w:sz w:val="24"/>
        </w:rPr>
        <w:t>En estado estable, cuando se inyectan 200 ms de latencia en la red de salida del servicio A, esperamos que el percentil 95 aumente en esa magnitud, que la disponibilidad siga por encima del 99 % y que la traza localice el retardo en el span del cliente HTTP y no en los de negocio o base de datos.</w:t>
      </w:r>
    </w:p>
    <w:p>
      <w:pPr>
        <w:spacing w:line="360" w:lineRule="auto" w:before="240"/>
      </w:pPr>
      <w:r>
        <w:rPr>
          <w:rFonts w:ascii="Times New Roman" w:hAnsi="Times New Roman"/>
          <w:b/>
          <w:i w:val="0"/>
          <w:sz w:val="24"/>
        </w:rPr>
        <w:t>Hipótesis 2 (agotamiento de recursos).</w:t>
      </w:r>
    </w:p>
    <w:p>
      <w:pPr>
        <w:spacing w:line="360" w:lineRule="auto" w:before="0"/>
        <w:ind w:firstLine="720"/>
      </w:pPr>
      <w:r>
        <w:rPr>
          <w:rFonts w:ascii="Times New Roman" w:hAnsi="Times New Roman"/>
          <w:b w:val="0"/>
          <w:i w:val="0"/>
          <w:sz w:val="24"/>
        </w:rPr>
        <w:t>En estado estable, cuando el conjunto de conexiones del servicio B se reduce por debajo del número de hilos que atienden funciones síncronas, esperamos errores del lado del servidor bajo concurrencia, una tasa de error sobre el 1 % y registros correlacionados que atribuyan el fallo al módulo de acceso a datos en la petición concreta.</w:t>
      </w:r>
    </w:p>
    <w:p>
      <w:pPr>
        <w:spacing w:line="360" w:lineRule="auto" w:before="240"/>
      </w:pPr>
      <w:r>
        <w:rPr>
          <w:rFonts w:ascii="Times New Roman" w:hAnsi="Times New Roman"/>
          <w:b/>
          <w:i w:val="0"/>
          <w:sz w:val="24"/>
        </w:rPr>
        <w:t>Hipótesis 3 (partición de red).</w:t>
      </w:r>
    </w:p>
    <w:p>
      <w:pPr>
        <w:spacing w:line="360" w:lineRule="auto" w:before="0"/>
        <w:ind w:firstLine="720"/>
      </w:pPr>
      <w:r>
        <w:rPr>
          <w:rFonts w:ascii="Times New Roman" w:hAnsi="Times New Roman"/>
          <w:b w:val="0"/>
          <w:i w:val="0"/>
          <w:sz w:val="24"/>
        </w:rPr>
        <w:t>En estado estable, cuando se corta el tráfico entre el servicio A y el Collector, esperamos que la aplicación siga atendiendo checkouts sin degradación medible, y que la única consecuencia sea la ausencia de datos nuevos en los backends junto con errores de exportación.</w:t>
      </w:r>
    </w:p>
    <w:p>
      <w:pPr>
        <w:spacing w:line="360" w:lineRule="auto" w:before="240"/>
      </w:pPr>
      <w:r>
        <w:rPr>
          <w:rFonts w:ascii="Times New Roman" w:hAnsi="Times New Roman"/>
          <w:b/>
          <w:i w:val="0"/>
          <w:sz w:val="24"/>
        </w:rPr>
        <w:t>Diseño de los Experimentos</w:t>
      </w:r>
    </w:p>
    <w:p>
      <w:pPr>
        <w:spacing w:line="360" w:lineRule="auto" w:before="0"/>
        <w:ind w:firstLine="720"/>
      </w:pPr>
      <w:r>
        <w:rPr>
          <w:rFonts w:ascii="Times New Roman" w:hAnsi="Times New Roman"/>
          <w:b w:val="0"/>
          <w:i w:val="0"/>
          <w:sz w:val="24"/>
        </w:rPr>
        <w:t>Cada experimento delimita su radio de impacto, fija una duración justificada e incorpora reversión automática, armada antes de inyectar el fallo para que una interrupción no deje el sistema degradado.</w:t>
      </w:r>
    </w:p>
    <w:p>
      <w:pPr>
        <w:spacing w:line="360" w:lineRule="auto" w:before="240"/>
      </w:pPr>
      <w:r>
        <w:rPr>
          <w:rFonts w:ascii="Times New Roman" w:hAnsi="Times New Roman"/>
          <w:b/>
          <w:i w:val="0"/>
          <w:sz w:val="24"/>
        </w:rPr>
        <w:t>Tabla 1</w:t>
      </w:r>
    </w:p>
    <w:p>
      <w:pPr>
        <w:spacing w:line="360" w:lineRule="auto" w:before="0"/>
      </w:pPr>
      <w:r>
        <w:rPr>
          <w:rFonts w:ascii="Times New Roman" w:hAnsi="Times New Roman"/>
          <w:b w:val="0"/>
          <w:i/>
          <w:sz w:val="24"/>
        </w:rPr>
        <w:t>Diseño de los tres experimentos de caos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r>
          </w:p>
        </w:tc>
        <w:tc>
          <w:tcPr>
            <w:tcW w:type="dxa" w:w="2340"/>
          </w:tcPr>
          <w:p>
            <w:pPr>
              <w:spacing w:line="240" w:lineRule="auto"/>
            </w:pPr>
            <w:r>
              <w:rPr>
                <w:rFonts w:ascii="Times New Roman" w:hAnsi="Times New Roman"/>
                <w:b/>
                <w:sz w:val="20"/>
              </w:rPr>
              <w:t>Experimento 1</w:t>
            </w:r>
          </w:p>
        </w:tc>
        <w:tc>
          <w:tcPr>
            <w:tcW w:type="dxa" w:w="2340"/>
          </w:tcPr>
          <w:p>
            <w:pPr>
              <w:spacing w:line="240" w:lineRule="auto"/>
            </w:pPr>
            <w:r>
              <w:rPr>
                <w:rFonts w:ascii="Times New Roman" w:hAnsi="Times New Roman"/>
                <w:b/>
                <w:sz w:val="20"/>
              </w:rPr>
              <w:t>Experimento 2</w:t>
            </w:r>
          </w:p>
        </w:tc>
        <w:tc>
          <w:tcPr>
            <w:tcW w:type="dxa" w:w="2340"/>
          </w:tcPr>
          <w:p>
            <w:pPr>
              <w:spacing w:line="240" w:lineRule="auto"/>
            </w:pPr>
            <w:r>
              <w:rPr>
                <w:rFonts w:ascii="Times New Roman" w:hAnsi="Times New Roman"/>
                <w:b/>
                <w:sz w:val="20"/>
              </w:rPr>
              <w:t>Experimento 3</w:t>
            </w:r>
          </w:p>
        </w:tc>
      </w:tr>
      <w:tr>
        <w:tc>
          <w:tcPr>
            <w:tcW w:type="dxa" w:w="2340"/>
          </w:tcPr>
          <w:p>
            <w:pPr>
              <w:spacing w:line="240" w:lineRule="auto"/>
            </w:pPr>
            <w:r>
              <w:rPr>
                <w:rFonts w:ascii="Times New Roman" w:hAnsi="Times New Roman"/>
                <w:sz w:val="20"/>
              </w:rPr>
              <w:t>Tipo de fallo</w:t>
            </w:r>
          </w:p>
        </w:tc>
        <w:tc>
          <w:tcPr>
            <w:tcW w:type="dxa" w:w="2340"/>
          </w:tcPr>
          <w:p>
            <w:pPr>
              <w:spacing w:line="240" w:lineRule="auto"/>
            </w:pPr>
            <w:r>
              <w:rPr>
                <w:rFonts w:ascii="Times New Roman" w:hAnsi="Times New Roman"/>
                <w:sz w:val="20"/>
              </w:rPr>
              <w:t>Latencia de red</w:t>
            </w:r>
          </w:p>
        </w:tc>
        <w:tc>
          <w:tcPr>
            <w:tcW w:type="dxa" w:w="2340"/>
          </w:tcPr>
          <w:p>
            <w:pPr>
              <w:spacing w:line="240" w:lineRule="auto"/>
            </w:pPr>
            <w:r>
              <w:rPr>
                <w:rFonts w:ascii="Times New Roman" w:hAnsi="Times New Roman"/>
                <w:sz w:val="20"/>
              </w:rPr>
              <w:t>Agotamiento de recursos</w:t>
            </w:r>
          </w:p>
        </w:tc>
        <w:tc>
          <w:tcPr>
            <w:tcW w:type="dxa" w:w="2340"/>
          </w:tcPr>
          <w:p>
            <w:pPr>
              <w:spacing w:line="240" w:lineRule="auto"/>
            </w:pPr>
            <w:r>
              <w:rPr>
                <w:rFonts w:ascii="Times New Roman" w:hAnsi="Times New Roman"/>
                <w:sz w:val="20"/>
              </w:rPr>
              <w:t>Partición de red</w:t>
            </w:r>
          </w:p>
        </w:tc>
      </w:tr>
      <w:tr>
        <w:tc>
          <w:tcPr>
            <w:tcW w:type="dxa" w:w="2340"/>
          </w:tcPr>
          <w:p>
            <w:pPr>
              <w:spacing w:line="240" w:lineRule="auto"/>
            </w:pPr>
            <w:r>
              <w:rPr>
                <w:rFonts w:ascii="Times New Roman" w:hAnsi="Times New Roman"/>
                <w:sz w:val="20"/>
              </w:rPr>
              <w:t>Herramienta</w:t>
            </w:r>
          </w:p>
        </w:tc>
        <w:tc>
          <w:tcPr>
            <w:tcW w:type="dxa" w:w="2340"/>
          </w:tcPr>
          <w:p>
            <w:pPr>
              <w:spacing w:line="240" w:lineRule="auto"/>
            </w:pPr>
            <w:r>
              <w:rPr>
                <w:rFonts w:ascii="Times New Roman" w:hAnsi="Times New Roman"/>
                <w:sz w:val="20"/>
              </w:rPr>
              <w:t>tc netem</w:t>
            </w:r>
          </w:p>
        </w:tc>
        <w:tc>
          <w:tcPr>
            <w:tcW w:type="dxa" w:w="2340"/>
          </w:tcPr>
          <w:p>
            <w:pPr>
              <w:spacing w:line="240" w:lineRule="auto"/>
            </w:pPr>
            <w:r>
              <w:rPr>
                <w:rFonts w:ascii="Times New Roman" w:hAnsi="Times New Roman"/>
                <w:sz w:val="20"/>
              </w:rPr>
              <w:t>Reconfiguración del pool</w:t>
            </w:r>
          </w:p>
        </w:tc>
        <w:tc>
          <w:tcPr>
            <w:tcW w:type="dxa" w:w="2340"/>
          </w:tcPr>
          <w:p>
            <w:pPr>
              <w:spacing w:line="240" w:lineRule="auto"/>
            </w:pPr>
            <w:r>
              <w:rPr>
                <w:rFonts w:ascii="Times New Roman" w:hAnsi="Times New Roman"/>
                <w:sz w:val="20"/>
              </w:rPr>
              <w:t>tc netem con filtro de puerto</w:t>
            </w:r>
          </w:p>
        </w:tc>
      </w:tr>
      <w:tr>
        <w:tc>
          <w:tcPr>
            <w:tcW w:type="dxa" w:w="2340"/>
          </w:tcPr>
          <w:p>
            <w:pPr>
              <w:spacing w:line="240" w:lineRule="auto"/>
            </w:pPr>
            <w:r>
              <w:rPr>
                <w:rFonts w:ascii="Times New Roman" w:hAnsi="Times New Roman"/>
                <w:sz w:val="20"/>
              </w:rPr>
              <w:t>Radio de impacto</w:t>
            </w:r>
          </w:p>
        </w:tc>
        <w:tc>
          <w:tcPr>
            <w:tcW w:type="dxa" w:w="2340"/>
          </w:tcPr>
          <w:p>
            <w:pPr>
              <w:spacing w:line="240" w:lineRule="auto"/>
            </w:pPr>
            <w:r>
              <w:rPr>
                <w:rFonts w:ascii="Times New Roman" w:hAnsi="Times New Roman"/>
                <w:sz w:val="20"/>
              </w:rPr>
              <w:t>Salida de red del servicio A</w:t>
            </w:r>
          </w:p>
        </w:tc>
        <w:tc>
          <w:tcPr>
            <w:tcW w:type="dxa" w:w="2340"/>
          </w:tcPr>
          <w:p>
            <w:pPr>
              <w:spacing w:line="240" w:lineRule="auto"/>
            </w:pPr>
            <w:r>
              <w:rPr>
                <w:rFonts w:ascii="Times New Roman" w:hAnsi="Times New Roman"/>
                <w:sz w:val="20"/>
              </w:rPr>
              <w:t>Servicio B</w:t>
            </w:r>
          </w:p>
        </w:tc>
        <w:tc>
          <w:tcPr>
            <w:tcW w:type="dxa" w:w="2340"/>
          </w:tcPr>
          <w:p>
            <w:pPr>
              <w:spacing w:line="240" w:lineRule="auto"/>
            </w:pPr>
            <w:r>
              <w:rPr>
                <w:rFonts w:ascii="Times New Roman" w:hAnsi="Times New Roman"/>
                <w:sz w:val="20"/>
              </w:rPr>
              <w:t>Solo el tráfico al puerto 4317</w:t>
            </w:r>
          </w:p>
        </w:tc>
      </w:tr>
      <w:tr>
        <w:tc>
          <w:tcPr>
            <w:tcW w:type="dxa" w:w="2340"/>
          </w:tcPr>
          <w:p>
            <w:pPr>
              <w:spacing w:line="240" w:lineRule="auto"/>
            </w:pPr>
            <w:r>
              <w:rPr>
                <w:rFonts w:ascii="Times New Roman" w:hAnsi="Times New Roman"/>
                <w:sz w:val="20"/>
              </w:rPr>
              <w:t>Duración</w:t>
            </w:r>
          </w:p>
        </w:tc>
        <w:tc>
          <w:tcPr>
            <w:tcW w:type="dxa" w:w="2340"/>
          </w:tcPr>
          <w:p>
            <w:pPr>
              <w:spacing w:line="240" w:lineRule="auto"/>
            </w:pPr>
            <w:r>
              <w:rPr>
                <w:rFonts w:ascii="Times New Roman" w:hAnsi="Times New Roman"/>
                <w:sz w:val="20"/>
              </w:rPr>
              <w:t>120 s</w:t>
            </w:r>
          </w:p>
        </w:tc>
        <w:tc>
          <w:tcPr>
            <w:tcW w:type="dxa" w:w="2340"/>
          </w:tcPr>
          <w:p>
            <w:pPr>
              <w:spacing w:line="240" w:lineRule="auto"/>
            </w:pPr>
            <w:r>
              <w:rPr>
                <w:rFonts w:ascii="Times New Roman" w:hAnsi="Times New Roman"/>
                <w:sz w:val="20"/>
              </w:rPr>
              <w:t>90 s</w:t>
            </w:r>
          </w:p>
        </w:tc>
        <w:tc>
          <w:tcPr>
            <w:tcW w:type="dxa" w:w="2340"/>
          </w:tcPr>
          <w:p>
            <w:pPr>
              <w:spacing w:line="240" w:lineRule="auto"/>
            </w:pPr>
            <w:r>
              <w:rPr>
                <w:rFonts w:ascii="Times New Roman" w:hAnsi="Times New Roman"/>
                <w:sz w:val="20"/>
              </w:rPr>
              <w:t>90 s</w:t>
            </w:r>
          </w:p>
        </w:tc>
      </w:tr>
      <w:tr>
        <w:tc>
          <w:tcPr>
            <w:tcW w:type="dxa" w:w="2340"/>
          </w:tcPr>
          <w:p>
            <w:pPr>
              <w:spacing w:line="240" w:lineRule="auto"/>
            </w:pPr>
            <w:r>
              <w:rPr>
                <w:rFonts w:ascii="Times New Roman" w:hAnsi="Times New Roman"/>
                <w:sz w:val="20"/>
              </w:rPr>
              <w:t>Justificación</w:t>
            </w:r>
          </w:p>
        </w:tc>
        <w:tc>
          <w:tcPr>
            <w:tcW w:type="dxa" w:w="2340"/>
          </w:tcPr>
          <w:p>
            <w:pPr>
              <w:spacing w:line="240" w:lineRule="auto"/>
            </w:pPr>
            <w:r>
              <w:rPr>
                <w:rFonts w:ascii="Times New Roman" w:hAnsi="Times New Roman"/>
                <w:sz w:val="20"/>
              </w:rPr>
              <w:t>Dos ventanas de raspado de métricas</w:t>
            </w:r>
          </w:p>
        </w:tc>
        <w:tc>
          <w:tcPr>
            <w:tcW w:type="dxa" w:w="2340"/>
          </w:tcPr>
          <w:p>
            <w:pPr>
              <w:spacing w:line="240" w:lineRule="auto"/>
            </w:pPr>
            <w:r>
              <w:rPr>
                <w:rFonts w:ascii="Times New Roman" w:hAnsi="Times New Roman"/>
                <w:sz w:val="20"/>
              </w:rPr>
              <w:t>Suficiente para saturar el conjunto</w:t>
            </w:r>
          </w:p>
        </w:tc>
        <w:tc>
          <w:tcPr>
            <w:tcW w:type="dxa" w:w="2340"/>
          </w:tcPr>
          <w:p>
            <w:pPr>
              <w:spacing w:line="240" w:lineRule="auto"/>
            </w:pPr>
            <w:r>
              <w:rPr>
                <w:rFonts w:ascii="Times New Roman" w:hAnsi="Times New Roman"/>
                <w:sz w:val="20"/>
              </w:rPr>
              <w:t>Más del doble del reintento del exportador</w:t>
            </w:r>
          </w:p>
        </w:tc>
      </w:tr>
      <w:tr>
        <w:tc>
          <w:tcPr>
            <w:tcW w:type="dxa" w:w="2340"/>
          </w:tcPr>
          <w:p>
            <w:pPr>
              <w:spacing w:line="240" w:lineRule="auto"/>
            </w:pPr>
            <w:r>
              <w:rPr>
                <w:rFonts w:ascii="Times New Roman" w:hAnsi="Times New Roman"/>
                <w:sz w:val="20"/>
              </w:rPr>
              <w:t>Reversión</w:t>
            </w:r>
          </w:p>
        </w:tc>
        <w:tc>
          <w:tcPr>
            <w:tcW w:type="dxa" w:w="2340"/>
          </w:tcPr>
          <w:p>
            <w:pPr>
              <w:spacing w:line="240" w:lineRule="auto"/>
            </w:pPr>
            <w:r>
              <w:rPr>
                <w:rFonts w:ascii="Times New Roman" w:hAnsi="Times New Roman"/>
                <w:sz w:val="20"/>
              </w:rPr>
              <w:t>trap retira la regla y verifica</w:t>
            </w:r>
          </w:p>
        </w:tc>
        <w:tc>
          <w:tcPr>
            <w:tcW w:type="dxa" w:w="2340"/>
          </w:tcPr>
          <w:p>
            <w:pPr>
              <w:spacing w:line="240" w:lineRule="auto"/>
            </w:pPr>
            <w:r>
              <w:rPr>
                <w:rFonts w:ascii="Times New Roman" w:hAnsi="Times New Roman"/>
                <w:sz w:val="20"/>
              </w:rPr>
              <w:t>trap restaura el pool y reinicia</w:t>
            </w:r>
          </w:p>
        </w:tc>
        <w:tc>
          <w:tcPr>
            <w:tcW w:type="dxa" w:w="2340"/>
          </w:tcPr>
          <w:p>
            <w:pPr>
              <w:spacing w:line="240" w:lineRule="auto"/>
            </w:pPr>
            <w:r>
              <w:rPr>
                <w:rFonts w:ascii="Times New Roman" w:hAnsi="Times New Roman"/>
                <w:sz w:val="20"/>
              </w:rPr>
              <w:t>trap retira el filtro y verifica</w:t>
            </w:r>
          </w:p>
        </w:tc>
      </w:tr>
    </w:tbl>
    <w:p>
      <w:pPr>
        <w:spacing w:line="240" w:lineRule="auto" w:before="240"/>
      </w:pPr>
      <w:r>
        <w:rPr>
          <w:rFonts w:ascii="Times New Roman" w:hAnsi="Times New Roman"/>
          <w:b w:val="0"/>
          <w:i w:val="0"/>
          <w:sz w:val="20"/>
        </w:rPr>
        <w:t>Nota. El caos se inyecta desde un contenedor efímero que comparte la pila de red del objetivo, sin modificar las imágenes: así el sistema bajo experimento es el mismo que se ejecuta normalmente.</w:t>
      </w:r>
    </w:p>
    <w:p>
      <w:pPr>
        <w:spacing w:line="360" w:lineRule="auto" w:before="0"/>
        <w:ind w:firstLine="720"/>
      </w:pPr>
      <w:r>
        <w:rPr>
          <w:rFonts w:ascii="Times New Roman" w:hAnsi="Times New Roman"/>
          <w:b w:val="0"/>
          <w:i w:val="0"/>
          <w:sz w:val="24"/>
        </w:rPr>
        <w:t>El experimento 2 no es especulativo: ese fallo ocurrió realmente durante el análisis de sobrecosto de la actividad anterior, con más de once mil excepciones, e invalidó la medición hasta corregirlo. Persigue por tanto reproducir un fallo documentado y verificar que la corrección resiste las condiciones que lo provocaron, lo que es más honesto que fingir desconocer el resultado.</w:t>
      </w:r>
    </w:p>
    <w:p>
      <w:pPr>
        <w:spacing w:line="360" w:lineRule="auto" w:before="240"/>
      </w:pPr>
      <w:r>
        <w:rPr>
          <w:rFonts w:ascii="Times New Roman" w:hAnsi="Times New Roman"/>
          <w:b/>
          <w:i w:val="0"/>
          <w:sz w:val="24"/>
        </w:rPr>
        <w:t>Métricas de Observabilidad</w:t>
      </w:r>
    </w:p>
    <w:p>
      <w:pPr>
        <w:spacing w:line="360" w:lineRule="auto" w:before="0"/>
        <w:ind w:firstLine="720"/>
      </w:pPr>
      <w:r>
        <w:rPr>
          <w:rFonts w:ascii="Times New Roman" w:hAnsi="Times New Roman"/>
          <w:b w:val="0"/>
          <w:i w:val="0"/>
          <w:sz w:val="24"/>
        </w:rPr>
        <w:t>Cada hipótesis se valida con un indicador principal y las señales existentes. No se añade instrumentación: necesitarla sería, en sí mismo, un hallazgo sobre la observabilidad del sistema.</w:t>
      </w:r>
    </w:p>
    <w:p>
      <w:pPr>
        <w:spacing w:line="360" w:lineRule="auto" w:before="240"/>
      </w:pPr>
      <w:r>
        <w:rPr>
          <w:rFonts w:ascii="Times New Roman" w:hAnsi="Times New Roman"/>
          <w:b/>
          <w:i w:val="0"/>
          <w:sz w:val="24"/>
        </w:rPr>
        <w:t>Tabla 2</w:t>
      </w:r>
    </w:p>
    <w:p>
      <w:pPr>
        <w:spacing w:line="360" w:lineRule="auto" w:before="0"/>
      </w:pPr>
      <w:r>
        <w:rPr>
          <w:rFonts w:ascii="Times New Roman" w:hAnsi="Times New Roman"/>
          <w:b w:val="0"/>
          <w:i/>
          <w:sz w:val="24"/>
        </w:rPr>
        <w:t>Señales que validan cada hipótesis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Hipótesis</w:t>
            </w:r>
          </w:p>
        </w:tc>
        <w:tc>
          <w:tcPr>
            <w:tcW w:type="dxa" w:w="2340"/>
          </w:tcPr>
          <w:p>
            <w:pPr>
              <w:spacing w:line="240" w:lineRule="auto"/>
            </w:pPr>
            <w:r>
              <w:rPr>
                <w:rFonts w:ascii="Times New Roman" w:hAnsi="Times New Roman"/>
                <w:b/>
                <w:sz w:val="20"/>
              </w:rPr>
              <w:t>SLI principal</w:t>
            </w:r>
          </w:p>
        </w:tc>
        <w:tc>
          <w:tcPr>
            <w:tcW w:type="dxa" w:w="2340"/>
          </w:tcPr>
          <w:p>
            <w:pPr>
              <w:spacing w:line="240" w:lineRule="auto"/>
            </w:pPr>
            <w:r>
              <w:rPr>
                <w:rFonts w:ascii="Times New Roman" w:hAnsi="Times New Roman"/>
                <w:b/>
                <w:sz w:val="20"/>
              </w:rPr>
              <w:t>Trazas</w:t>
            </w:r>
          </w:p>
        </w:tc>
        <w:tc>
          <w:tcPr>
            <w:tcW w:type="dxa" w:w="2340"/>
          </w:tcPr>
          <w:p>
            <w:pPr>
              <w:spacing w:line="240" w:lineRule="auto"/>
            </w:pPr>
            <w:r>
              <w:rPr>
                <w:rFonts w:ascii="Times New Roman" w:hAnsi="Times New Roman"/>
                <w:b/>
                <w:sz w:val="20"/>
              </w:rPr>
              <w:t>Registros y métricas</w:t>
            </w:r>
          </w:p>
        </w:tc>
      </w:tr>
      <w:tr>
        <w:tc>
          <w:tcPr>
            <w:tcW w:type="dxa" w:w="2340"/>
          </w:tcPr>
          <w:p>
            <w:pPr>
              <w:spacing w:line="240" w:lineRule="auto"/>
            </w:pPr>
            <w:r>
              <w:rPr>
                <w:rFonts w:ascii="Times New Roman" w:hAnsi="Times New Roman"/>
                <w:sz w:val="20"/>
              </w:rPr>
              <w:t>1 · Latencia</w:t>
            </w:r>
          </w:p>
        </w:tc>
        <w:tc>
          <w:tcPr>
            <w:tcW w:type="dxa" w:w="2340"/>
          </w:tcPr>
          <w:p>
            <w:pPr>
              <w:spacing w:line="240" w:lineRule="auto"/>
            </w:pPr>
            <w:r>
              <w:rPr>
                <w:rFonts w:ascii="Times New Roman" w:hAnsi="Times New Roman"/>
                <w:sz w:val="20"/>
              </w:rPr>
              <w:t>Percentil 95 de checkout</w:t>
            </w:r>
          </w:p>
        </w:tc>
        <w:tc>
          <w:tcPr>
            <w:tcW w:type="dxa" w:w="2340"/>
          </w:tcPr>
          <w:p>
            <w:pPr>
              <w:spacing w:line="240" w:lineRule="auto"/>
            </w:pPr>
            <w:r>
              <w:rPr>
                <w:rFonts w:ascii="Times New Roman" w:hAnsi="Times New Roman"/>
                <w:sz w:val="20"/>
              </w:rPr>
              <w:t>El span cliente HTTP concentra el retardo</w:t>
            </w:r>
          </w:p>
        </w:tc>
        <w:tc>
          <w:tcPr>
            <w:tcW w:type="dxa" w:w="2340"/>
          </w:tcPr>
          <w:p>
            <w:pPr>
              <w:spacing w:line="240" w:lineRule="auto"/>
            </w:pPr>
            <w:r>
              <w:rPr>
                <w:rFonts w:ascii="Times New Roman" w:hAnsi="Times New Roman"/>
                <w:sz w:val="20"/>
              </w:rPr>
              <w:t>Histograma de duración por estado</w:t>
            </w:r>
          </w:p>
        </w:tc>
      </w:tr>
      <w:tr>
        <w:tc>
          <w:tcPr>
            <w:tcW w:type="dxa" w:w="2340"/>
          </w:tcPr>
          <w:p>
            <w:pPr>
              <w:spacing w:line="240" w:lineRule="auto"/>
            </w:pPr>
            <w:r>
              <w:rPr>
                <w:rFonts w:ascii="Times New Roman" w:hAnsi="Times New Roman"/>
                <w:sz w:val="20"/>
              </w:rPr>
              <w:t>2 · Recursos</w:t>
            </w:r>
          </w:p>
        </w:tc>
        <w:tc>
          <w:tcPr>
            <w:tcW w:type="dxa" w:w="2340"/>
          </w:tcPr>
          <w:p>
            <w:pPr>
              <w:spacing w:line="240" w:lineRule="auto"/>
            </w:pPr>
            <w:r>
              <w:rPr>
                <w:rFonts w:ascii="Times New Roman" w:hAnsi="Times New Roman"/>
                <w:sz w:val="20"/>
              </w:rPr>
              <w:t>Tasa de error</w:t>
            </w:r>
          </w:p>
        </w:tc>
        <w:tc>
          <w:tcPr>
            <w:tcW w:type="dxa" w:w="2340"/>
          </w:tcPr>
          <w:p>
            <w:pPr>
              <w:spacing w:line="240" w:lineRule="auto"/>
            </w:pPr>
            <w:r>
              <w:rPr>
                <w:rFonts w:ascii="Times New Roman" w:hAnsi="Times New Roman"/>
                <w:sz w:val="20"/>
              </w:rPr>
              <w:t>Span de reserva en estado de error</w:t>
            </w:r>
          </w:p>
        </w:tc>
        <w:tc>
          <w:tcPr>
            <w:tcW w:type="dxa" w:w="2340"/>
          </w:tcPr>
          <w:p>
            <w:pPr>
              <w:spacing w:line="240" w:lineRule="auto"/>
            </w:pPr>
            <w:r>
              <w:rPr>
                <w:rFonts w:ascii="Times New Roman" w:hAnsi="Times New Roman"/>
                <w:sz w:val="20"/>
              </w:rPr>
              <w:t>Registros con el identificador de traza y la excepción</w:t>
            </w:r>
          </w:p>
        </w:tc>
      </w:tr>
      <w:tr>
        <w:tc>
          <w:tcPr>
            <w:tcW w:type="dxa" w:w="2340"/>
          </w:tcPr>
          <w:p>
            <w:pPr>
              <w:spacing w:line="240" w:lineRule="auto"/>
            </w:pPr>
            <w:r>
              <w:rPr>
                <w:rFonts w:ascii="Times New Roman" w:hAnsi="Times New Roman"/>
                <w:sz w:val="20"/>
              </w:rPr>
              <w:t>3 · Partición</w:t>
            </w:r>
          </w:p>
        </w:tc>
        <w:tc>
          <w:tcPr>
            <w:tcW w:type="dxa" w:w="2340"/>
          </w:tcPr>
          <w:p>
            <w:pPr>
              <w:spacing w:line="240" w:lineRule="auto"/>
            </w:pPr>
            <w:r>
              <w:rPr>
                <w:rFonts w:ascii="Times New Roman" w:hAnsi="Times New Roman"/>
                <w:sz w:val="20"/>
              </w:rPr>
              <w:t>Disponibilidad (sin cambio esperado)</w:t>
            </w:r>
          </w:p>
        </w:tc>
        <w:tc>
          <w:tcPr>
            <w:tcW w:type="dxa" w:w="2340"/>
          </w:tcPr>
          <w:p>
            <w:pPr>
              <w:spacing w:line="240" w:lineRule="auto"/>
            </w:pPr>
            <w:r>
              <w:rPr>
                <w:rFonts w:ascii="Times New Roman" w:hAnsi="Times New Roman"/>
                <w:sz w:val="20"/>
              </w:rPr>
              <w:t>Ausencia de trazas nuevas</w:t>
            </w:r>
          </w:p>
        </w:tc>
        <w:tc>
          <w:tcPr>
            <w:tcW w:type="dxa" w:w="2340"/>
          </w:tcPr>
          <w:p>
            <w:pPr>
              <w:spacing w:line="240" w:lineRule="auto"/>
            </w:pPr>
            <w:r>
              <w:rPr>
                <w:rFonts w:ascii="Times New Roman" w:hAnsi="Times New Roman"/>
                <w:sz w:val="20"/>
              </w:rPr>
              <w:t>Errores de exportación; caída de métricas del Collector</w:t>
            </w:r>
          </w:p>
        </w:tc>
      </w:tr>
    </w:tbl>
    <w:p>
      <w:pPr>
        <w:spacing w:line="240" w:lineRule="auto" w:before="240"/>
      </w:pPr>
      <w:r>
        <w:rPr>
          <w:rFonts w:ascii="Times New Roman" w:hAnsi="Times New Roman"/>
          <w:b w:val="0"/>
          <w:i w:val="0"/>
          <w:sz w:val="20"/>
        </w:rPr>
        <w:t>Nota. La correlación por identificador de traza, verificada en la actividad anterior, es lo que permite pasar del indicador agregado a la petición concreta que lo produjo.</w:t>
      </w:r>
    </w:p>
    <w:p>
      <w:pPr>
        <w:spacing w:line="360" w:lineRule="auto" w:before="240"/>
      </w:pPr>
      <w:r>
        <w:rPr>
          <w:rFonts w:ascii="Times New Roman" w:hAnsi="Times New Roman"/>
          <w:b/>
          <w:i w:val="0"/>
          <w:sz w:val="24"/>
        </w:rPr>
        <w:t>Ejecución y Resultados</w:t>
      </w:r>
    </w:p>
    <w:p>
      <w:pPr>
        <w:spacing w:line="360" w:lineRule="auto" w:before="0"/>
        <w:ind w:firstLine="720"/>
      </w:pPr>
      <w:r>
        <w:rPr>
          <w:rFonts w:ascii="Times New Roman" w:hAnsi="Times New Roman"/>
          <w:b w:val="0"/>
          <w:i w:val="0"/>
          <w:sz w:val="24"/>
        </w:rPr>
        <w:t>Los tres se ejecutaron el 26 de agosto de 2026 en el entorno local, desde un estado estable limpio. En los tres la reversión automática retiró el fallo y se verificó que no quedaran reglas activas. Las evidencias completas —salidas de consola, trazas y consultas— se recogen en el anexo.</w:t>
      </w:r>
    </w:p>
    <w:p>
      <w:pPr>
        <w:spacing w:line="360" w:lineRule="auto" w:before="240"/>
      </w:pPr>
      <w:r>
        <w:rPr>
          <w:rFonts w:ascii="Times New Roman" w:hAnsi="Times New Roman"/>
          <w:b/>
          <w:i w:val="0"/>
          <w:sz w:val="24"/>
        </w:rPr>
        <w:t>Tabla 3</w:t>
      </w:r>
    </w:p>
    <w:p>
      <w:pPr>
        <w:spacing w:line="360" w:lineRule="auto" w:before="0"/>
      </w:pPr>
      <w:r>
        <w:rPr>
          <w:rFonts w:ascii="Times New Roman" w:hAnsi="Times New Roman"/>
          <w:b w:val="0"/>
          <w:i/>
          <w:sz w:val="24"/>
        </w:rPr>
        <w:t>Resultado esperado frente a resultado observado</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Hipótesis</w:t>
            </w:r>
          </w:p>
        </w:tc>
        <w:tc>
          <w:tcPr>
            <w:tcW w:type="dxa" w:w="2340"/>
          </w:tcPr>
          <w:p>
            <w:pPr>
              <w:spacing w:line="240" w:lineRule="auto"/>
            </w:pPr>
            <w:r>
              <w:rPr>
                <w:rFonts w:ascii="Times New Roman" w:hAnsi="Times New Roman"/>
                <w:b/>
                <w:sz w:val="20"/>
              </w:rPr>
              <w:t>Esperado</w:t>
            </w:r>
          </w:p>
        </w:tc>
        <w:tc>
          <w:tcPr>
            <w:tcW w:type="dxa" w:w="2340"/>
          </w:tcPr>
          <w:p>
            <w:pPr>
              <w:spacing w:line="240" w:lineRule="auto"/>
            </w:pPr>
            <w:r>
              <w:rPr>
                <w:rFonts w:ascii="Times New Roman" w:hAnsi="Times New Roman"/>
                <w:b/>
                <w:sz w:val="20"/>
              </w:rPr>
              <w:t>Observado</w:t>
            </w:r>
          </w:p>
        </w:tc>
        <w:tc>
          <w:tcPr>
            <w:tcW w:type="dxa" w:w="2340"/>
          </w:tcPr>
          <w:p>
            <w:pPr>
              <w:spacing w:line="240" w:lineRule="auto"/>
            </w:pPr>
            <w:r>
              <w:rPr>
                <w:rFonts w:ascii="Times New Roman" w:hAnsi="Times New Roman"/>
                <w:b/>
                <w:sz w:val="20"/>
              </w:rPr>
              <w:t>Veredicto</w:t>
            </w:r>
          </w:p>
        </w:tc>
      </w:tr>
      <w:tr>
        <w:tc>
          <w:tcPr>
            <w:tcW w:type="dxa" w:w="2340"/>
          </w:tcPr>
          <w:p>
            <w:pPr>
              <w:spacing w:line="240" w:lineRule="auto"/>
            </w:pPr>
            <w:r>
              <w:rPr>
                <w:rFonts w:ascii="Times New Roman" w:hAnsi="Times New Roman"/>
                <w:sz w:val="20"/>
              </w:rPr>
              <w:t>1 · Latencia</w:t>
            </w:r>
          </w:p>
        </w:tc>
        <w:tc>
          <w:tcPr>
            <w:tcW w:type="dxa" w:w="2340"/>
          </w:tcPr>
          <w:p>
            <w:pPr>
              <w:spacing w:line="240" w:lineRule="auto"/>
            </w:pPr>
            <w:r>
              <w:rPr>
                <w:rFonts w:ascii="Times New Roman" w:hAnsi="Times New Roman"/>
                <w:sz w:val="20"/>
              </w:rPr>
              <w:t>p95 sube ~200 ms; retardo en el span cliente</w:t>
            </w:r>
          </w:p>
        </w:tc>
        <w:tc>
          <w:tcPr>
            <w:tcW w:type="dxa" w:w="2340"/>
          </w:tcPr>
          <w:p>
            <w:pPr>
              <w:spacing w:line="240" w:lineRule="auto"/>
            </w:pPr>
            <w:r>
              <w:rPr>
                <w:rFonts w:ascii="Times New Roman" w:hAnsi="Times New Roman"/>
                <w:sz w:val="20"/>
              </w:rPr>
              <w:t>p95 de 23,9 a 487,5 ms; 498 de 507 ms en el span cliente</w:t>
            </w:r>
          </w:p>
        </w:tc>
        <w:tc>
          <w:tcPr>
            <w:tcW w:type="dxa" w:w="2340"/>
          </w:tcPr>
          <w:p>
            <w:pPr>
              <w:spacing w:line="240" w:lineRule="auto"/>
            </w:pPr>
            <w:r>
              <w:rPr>
                <w:rFonts w:ascii="Times New Roman" w:hAnsi="Times New Roman"/>
                <w:sz w:val="20"/>
              </w:rPr>
              <w:t>Parcialmente refutada</w:t>
            </w:r>
          </w:p>
        </w:tc>
      </w:tr>
      <w:tr>
        <w:tc>
          <w:tcPr>
            <w:tcW w:type="dxa" w:w="2340"/>
          </w:tcPr>
          <w:p>
            <w:pPr>
              <w:spacing w:line="240" w:lineRule="auto"/>
            </w:pPr>
            <w:r>
              <w:rPr>
                <w:rFonts w:ascii="Times New Roman" w:hAnsi="Times New Roman"/>
                <w:sz w:val="20"/>
              </w:rPr>
              <w:t>2 · Recursos</w:t>
            </w:r>
          </w:p>
        </w:tc>
        <w:tc>
          <w:tcPr>
            <w:tcW w:type="dxa" w:w="2340"/>
          </w:tcPr>
          <w:p>
            <w:pPr>
              <w:spacing w:line="240" w:lineRule="auto"/>
            </w:pPr>
            <w:r>
              <w:rPr>
                <w:rFonts w:ascii="Times New Roman" w:hAnsi="Times New Roman"/>
                <w:sz w:val="20"/>
              </w:rPr>
              <w:t>Errores 5xx; tasa sobre el 1 %; logs atribuyen la causa</w:t>
            </w:r>
          </w:p>
        </w:tc>
        <w:tc>
          <w:tcPr>
            <w:tcW w:type="dxa" w:w="2340"/>
          </w:tcPr>
          <w:p>
            <w:pPr>
              <w:spacing w:line="240" w:lineRule="auto"/>
            </w:pPr>
            <w:r>
              <w:rPr>
                <w:rFonts w:ascii="Times New Roman" w:hAnsi="Times New Roman"/>
                <w:sz w:val="20"/>
              </w:rPr>
              <w:t>736 excepciones; disponibilidad 1,00 a 0,57; tasa 43,5 %; logs SIN causa</w:t>
            </w:r>
          </w:p>
        </w:tc>
        <w:tc>
          <w:tcPr>
            <w:tcW w:type="dxa" w:w="2340"/>
          </w:tcPr>
          <w:p>
            <w:pPr>
              <w:spacing w:line="240" w:lineRule="auto"/>
            </w:pPr>
            <w:r>
              <w:rPr>
                <w:rFonts w:ascii="Times New Roman" w:hAnsi="Times New Roman"/>
                <w:sz w:val="20"/>
              </w:rPr>
              <w:t>Parcialmente refutada</w:t>
            </w:r>
          </w:p>
        </w:tc>
      </w:tr>
      <w:tr>
        <w:tc>
          <w:tcPr>
            <w:tcW w:type="dxa" w:w="2340"/>
          </w:tcPr>
          <w:p>
            <w:pPr>
              <w:spacing w:line="240" w:lineRule="auto"/>
            </w:pPr>
            <w:r>
              <w:rPr>
                <w:rFonts w:ascii="Times New Roman" w:hAnsi="Times New Roman"/>
                <w:sz w:val="20"/>
              </w:rPr>
              <w:t>3 · Partición</w:t>
            </w:r>
          </w:p>
        </w:tc>
        <w:tc>
          <w:tcPr>
            <w:tcW w:type="dxa" w:w="2340"/>
          </w:tcPr>
          <w:p>
            <w:pPr>
              <w:spacing w:line="240" w:lineRule="auto"/>
            </w:pPr>
            <w:r>
              <w:rPr>
                <w:rFonts w:ascii="Times New Roman" w:hAnsi="Times New Roman"/>
                <w:sz w:val="20"/>
              </w:rPr>
              <w:t>La aplicación sigue; solo se pierde visibilidad</w:t>
            </w:r>
          </w:p>
        </w:tc>
        <w:tc>
          <w:tcPr>
            <w:tcW w:type="dxa" w:w="2340"/>
          </w:tcPr>
          <w:p>
            <w:pPr>
              <w:spacing w:line="240" w:lineRule="auto"/>
            </w:pPr>
            <w:r>
              <w:rPr>
                <w:rFonts w:ascii="Times New Roman" w:hAnsi="Times New Roman"/>
                <w:sz w:val="20"/>
              </w:rPr>
              <w:t>152 checkouts correctos; los indicadores quedan sin datos</w:t>
            </w:r>
          </w:p>
        </w:tc>
        <w:tc>
          <w:tcPr>
            <w:tcW w:type="dxa" w:w="2340"/>
          </w:tcPr>
          <w:p>
            <w:pPr>
              <w:spacing w:line="240" w:lineRule="auto"/>
            </w:pPr>
            <w:r>
              <w:rPr>
                <w:rFonts w:ascii="Times New Roman" w:hAnsi="Times New Roman"/>
                <w:sz w:val="20"/>
              </w:rPr>
              <w:t>Confirmada</w:t>
            </w:r>
          </w:p>
        </w:tc>
      </w:tr>
    </w:tbl>
    <w:p>
      <w:pPr>
        <w:spacing w:line="240" w:lineRule="auto" w:before="240"/>
      </w:pPr>
      <w:r>
        <w:rPr>
          <w:rFonts w:ascii="Times New Roman" w:hAnsi="Times New Roman"/>
          <w:b w:val="0"/>
          <w:i w:val="0"/>
          <w:sz w:val="20"/>
        </w:rPr>
        <w:t>Nota. Las dos refutaciones parciales son el resultado valioso del ejercicio: un experimento que solo confirma lo que ya se creía no enseña nada.</w:t>
      </w:r>
    </w:p>
    <w:p>
      <w:pPr>
        <w:spacing w:line="360" w:lineRule="auto" w:before="240"/>
      </w:pPr>
      <w:r>
        <w:rPr>
          <w:rFonts w:ascii="Times New Roman" w:hAnsi="Times New Roman"/>
          <w:b/>
          <w:i w:val="0"/>
          <w:sz w:val="24"/>
        </w:rPr>
        <w:t>Experimento 1.</w:t>
      </w:r>
    </w:p>
    <w:p>
      <w:pPr>
        <w:spacing w:line="360" w:lineRule="auto" w:before="0"/>
        <w:ind w:firstLine="720"/>
      </w:pPr>
      <w:r>
        <w:rPr>
          <w:rFonts w:ascii="Times New Roman" w:hAnsi="Times New Roman"/>
          <w:b w:val="0"/>
          <w:i w:val="0"/>
          <w:sz w:val="24"/>
        </w:rPr>
        <w:t>El percentil 95 pasó de 23,9 a 487,5 ms, más del doble de los 200 inyectados. La traza explica la discrepancia y valida el radio de impacto: de los 507 ms de la petición más lenta, 498 están en el span del cliente HTTP, mientras el servicio B responde en 11 ms y las sentencias SQL en menos de 3.</w:t>
      </w:r>
    </w:p>
    <w:p>
      <w:pPr>
        <w:spacing w:line="360" w:lineRule="auto" w:before="240"/>
      </w:pPr>
      <w:r>
        <w:rPr>
          <w:rFonts w:ascii="Times New Roman" w:hAnsi="Times New Roman"/>
          <w:b/>
          <w:i w:val="0"/>
          <w:sz w:val="24"/>
        </w:rPr>
        <w:t>Experimento 2.</w:t>
      </w:r>
    </w:p>
    <w:p>
      <w:pPr>
        <w:spacing w:line="360" w:lineRule="auto" w:before="0"/>
        <w:ind w:firstLine="720"/>
      </w:pPr>
      <w:r>
        <w:rPr>
          <w:rFonts w:ascii="Times New Roman" w:hAnsi="Times New Roman"/>
          <w:b w:val="0"/>
          <w:i w:val="0"/>
          <w:sz w:val="24"/>
        </w:rPr>
        <w:t>La disponibilidad cayó de 1,00 a 0,57 y la tasa de error alcanzó el 43,5 %, con 736 excepciones. Una corrida previa ejecutada por error sin inyectar el fallo resultó ser un grupo de control involuntario: con el conjunto en su valor por defecto y la misma carga, cero excepciones. La remediación aplicada tras el incidente original resiste.</w:t>
      </w:r>
    </w:p>
    <w:p>
      <w:pPr>
        <w:spacing w:line="360" w:lineRule="auto" w:before="240"/>
      </w:pPr>
      <w:r>
        <w:rPr>
          <w:rFonts w:ascii="Times New Roman" w:hAnsi="Times New Roman"/>
          <w:b/>
          <w:i w:val="0"/>
          <w:sz w:val="24"/>
        </w:rPr>
        <w:t>Experimento 3.</w:t>
      </w:r>
    </w:p>
    <w:p>
      <w:pPr>
        <w:spacing w:line="360" w:lineRule="auto" w:before="0"/>
        <w:ind w:firstLine="720"/>
      </w:pPr>
      <w:r>
        <w:rPr>
          <w:rFonts w:ascii="Times New Roman" w:hAnsi="Times New Roman"/>
          <w:b w:val="0"/>
          <w:i w:val="0"/>
          <w:sz w:val="24"/>
        </w:rPr>
        <w:t>La aplicación atendió 152 checkouts correctos mientras el Collector era inalcanzable, y el exportador registró fallos con el código DEADLINE_EXCEEDED. Al retirar la partición la telemetría se restableció sola: no está en la ruta crítica, como se esperaba.</w:t>
      </w:r>
    </w:p>
    <w:p>
      <w:pPr>
        <w:spacing w:line="360" w:lineRule="auto" w:before="0"/>
        <w:ind w:firstLine="720"/>
      </w:pPr>
      <w:r>
        <w:rPr>
          <w:rFonts w:ascii="Times New Roman" w:hAnsi="Times New Roman"/>
          <w:b w:val="0"/>
          <w:i w:val="0"/>
          <w:sz w:val="24"/>
        </w:rPr>
        <w:t>Dejó además una lección metodológica: durante la partición los cuatro indicadores mostraban «sin datos», lo que aparenta una caída total. No lo era. No se puede medir el fallo del sistema de observabilidad usando ese mismo sistema; hizo falta una fuente externa para saber que la aplicación seguía atendiendo peticiones.</w:t>
      </w:r>
    </w:p>
    <w:p>
      <w:pPr>
        <w:spacing w:line="360" w:lineRule="auto" w:before="240"/>
      </w:pPr>
      <w:r>
        <w:rPr>
          <w:rFonts w:ascii="Times New Roman" w:hAnsi="Times New Roman"/>
          <w:b/>
          <w:i w:val="0"/>
          <w:sz w:val="24"/>
        </w:rPr>
        <w:t>Debilidades Sistémicas y Remediación</w:t>
      </w:r>
    </w:p>
    <w:p>
      <w:pPr>
        <w:spacing w:line="360" w:lineRule="auto" w:before="240"/>
      </w:pPr>
      <w:r>
        <w:rPr>
          <w:rFonts w:ascii="Times New Roman" w:hAnsi="Times New Roman"/>
          <w:b/>
          <w:i w:val="0"/>
          <w:sz w:val="24"/>
        </w:rPr>
        <w:t>Debilidad 1: no hay reutilización de conexiones HTTP.</w:t>
      </w:r>
    </w:p>
    <w:p>
      <w:pPr>
        <w:spacing w:line="360" w:lineRule="auto" w:before="0"/>
        <w:ind w:firstLine="720"/>
      </w:pPr>
      <w:r>
        <w:rPr>
          <w:rFonts w:ascii="Times New Roman" w:hAnsi="Times New Roman"/>
          <w:b w:val="0"/>
          <w:i w:val="0"/>
          <w:sz w:val="24"/>
        </w:rPr>
        <w:t>El servicio A abre una conexión nueva en cada llamada al servicio B. Bajo latencia, el establecimiento de la conexión paga el retardo dos veces más y multiplica por 2,5 el impacto esperado: una vulnerabilidad invisible en condiciones normales y amplificadora en cuanto la red se degrada. La remediación es una sesión persistente con agrupación de conexiones, que reduciría el impacto a un único trayecto de ida y vuelta.</w:t>
      </w:r>
    </w:p>
    <w:p>
      <w:pPr>
        <w:spacing w:line="360" w:lineRule="auto" w:before="240"/>
      </w:pPr>
      <w:r>
        <w:rPr>
          <w:rFonts w:ascii="Times New Roman" w:hAnsi="Times New Roman"/>
          <w:b/>
          <w:i w:val="0"/>
          <w:sz w:val="24"/>
        </w:rPr>
        <w:t>Debilidad 2: las excepciones no controladas pierden su trazabilidad.</w:t>
      </w:r>
    </w:p>
    <w:p>
      <w:pPr>
        <w:spacing w:line="360" w:lineRule="auto" w:before="0"/>
        <w:ind w:firstLine="720"/>
      </w:pPr>
      <w:r>
        <w:rPr>
          <w:rFonts w:ascii="Times New Roman" w:hAnsi="Times New Roman"/>
          <w:b w:val="0"/>
          <w:i w:val="0"/>
          <w:sz w:val="24"/>
        </w:rPr>
        <w:t>Es el hallazgo más grave. Las 736 excepciones de agotamiento del conjunto **nunca llegaron al sistema centralizado de registros**. Solo llegó el mensaje genérico del servidor, sin identificador de traza y sin la traza de la excepción. Un operador que investigara el incidente consultando los registros vería que algo falló, pero no qué ni en qué petición.</w:t>
      </w:r>
    </w:p>
    <w:p>
      <w:pPr>
        <w:spacing w:line="360" w:lineRule="auto" w:before="0"/>
        <w:ind w:firstLine="720"/>
      </w:pPr>
      <w:r>
        <w:rPr>
          <w:rFonts w:ascii="Times New Roman" w:hAnsi="Times New Roman"/>
          <w:b w:val="0"/>
          <w:i w:val="0"/>
          <w:sz w:val="24"/>
        </w:rPr>
        <w:t>La causa es conocida: una excepción que escapa hacia el servidor se registra después de que el span se haya cerrado y pierde el contexto. Ya se corrigió para el fallo inyectado de forma deliberada, capturándolo dentro del span; el experimento revela que esa corrección debe generalizarse a toda excepción no controlada, con un manejador global que la registre dentro del contexto de la traza. La paradoja merece subrayarse: el sistema correlaciona los errores que sabe manejar y pierde los inesperados, que son los que más falta hace investigar.</w:t>
      </w:r>
    </w:p>
    <w:p>
      <w:pPr>
        <w:spacing w:line="360" w:lineRule="auto" w:before="240"/>
        <w:jc w:val="center"/>
      </w:pPr>
      <w:r>
        <w:rPr>
          <w:rFonts w:ascii="Times New Roman" w:hAnsi="Times New Roman"/>
          <w:b/>
          <w:i w:val="0"/>
          <w:sz w:val="24"/>
        </w:rPr>
        <w:t>Referencias</w:t>
      </w:r>
    </w:p>
    <w:p>
      <w:pPr>
        <w:spacing w:line="360" w:lineRule="auto" w:before="0"/>
        <w:ind w:left="720" w:hanging="720"/>
      </w:pPr>
      <w:r>
        <w:rPr>
          <w:rFonts w:ascii="Times New Roman" w:hAnsi="Times New Roman"/>
          <w:b w:val="0"/>
          <w:i w:val="0"/>
          <w:sz w:val="24"/>
        </w:rPr>
        <w:t>Basiri, A., Behnam, N., de Rooij, R., Hochstein, L., Kosewski, L., Reynolds, J., &amp; Rosenthal, C. (2016). Chaos engineering. IEEE Software, 33(3), 35–41. https://doi.org/10.1109/MS.2016.60</w:t>
      </w:r>
    </w:p>
    <w:p>
      <w:pPr>
        <w:spacing w:line="360" w:lineRule="auto" w:before="0"/>
        <w:ind w:left="720" w:hanging="720"/>
      </w:pPr>
      <w:r>
        <w:rPr>
          <w:rFonts w:ascii="Times New Roman" w:hAnsi="Times New Roman"/>
          <w:b w:val="0"/>
          <w:i w:val="0"/>
          <w:sz w:val="24"/>
        </w:rPr>
        <w:t>Beyer, B., Murphy, N. R., Rensin, D. K., Kawahara, K., &amp; Thorne, S. (2018). The site reliability workbook: Practical ways to implement SRE. O'Reilly Media.</w:t>
      </w:r>
    </w:p>
    <w:p>
      <w:pPr>
        <w:spacing w:line="360" w:lineRule="auto" w:before="0"/>
        <w:ind w:left="720" w:hanging="720"/>
      </w:pPr>
      <w:r>
        <w:rPr>
          <w:rFonts w:ascii="Times New Roman" w:hAnsi="Times New Roman"/>
          <w:b w:val="0"/>
          <w:i w:val="0"/>
          <w:sz w:val="24"/>
        </w:rPr>
        <w:t>OpenTelemetry Authors. (2025). OpenTelemetry documentation. Cloud Native Computing Foundation. https://opentelemetry.io/docs/</w:t>
      </w:r>
    </w:p>
    <w:p>
      <w:pPr>
        <w:spacing w:line="360" w:lineRule="auto" w:before="0"/>
        <w:ind w:left="720" w:hanging="720"/>
      </w:pPr>
      <w:r>
        <w:rPr>
          <w:rFonts w:ascii="Times New Roman" w:hAnsi="Times New Roman"/>
          <w:b w:val="0"/>
          <w:i w:val="0"/>
          <w:sz w:val="24"/>
        </w:rPr>
        <w:t>Rosenthal, C., &amp; Jones, N. (2020). Chaos engineering: System resiliency in practice. O'Reilly Media.</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