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3FA6" w:rsidRDefault="00A83FA6">
      <w:pPr>
        <w:pStyle w:val="DefaultText"/>
        <w:widowControl/>
        <w:tabs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rPr>
          <w:rFonts w:hint="eastAsia"/>
          <w:b/>
          <w:bCs/>
          <w:color w:val="000000"/>
          <w:sz w:val="36"/>
          <w:szCs w:val="36"/>
          <w:lang w:eastAsia="zh-CN"/>
        </w:rPr>
      </w:pPr>
      <w:r>
        <w:rPr>
          <w:rFonts w:hint="eastAsia"/>
          <w:b/>
          <w:bCs/>
          <w:color w:val="000000"/>
          <w:sz w:val="36"/>
          <w:szCs w:val="36"/>
          <w:lang w:eastAsia="zh-CN"/>
        </w:rPr>
        <w:t>项目工作周报</w:t>
      </w:r>
      <w:r>
        <w:rPr>
          <w:rFonts w:hint="eastAsia"/>
          <w:b/>
          <w:bCs/>
          <w:color w:val="000000"/>
          <w:sz w:val="36"/>
          <w:szCs w:val="36"/>
          <w:lang w:eastAsia="zh-CN"/>
        </w:rPr>
        <w:t xml:space="preserve"> </w:t>
      </w:r>
    </w:p>
    <w:tbl>
      <w:tblPr>
        <w:tblW w:w="0" w:type="auto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84"/>
        <w:gridCol w:w="3744"/>
        <w:gridCol w:w="1417"/>
        <w:gridCol w:w="3225"/>
      </w:tblGrid>
      <w:tr w:rsidR="00A83FA6" w:rsidTr="00DE67CD">
        <w:tc>
          <w:tcPr>
            <w:tcW w:w="1184" w:type="dxa"/>
          </w:tcPr>
          <w:p>
            <w:r>
              <w:t>选题名称</w:t>
            </w:r>
          </w:p>
        </w:tc>
        <w:tc>
          <w:tcPr>
            <w:tcW w:w="3744" w:type="dxa"/>
          </w:tcPr>
          <w:p>
            <w:r>
              <w:t>“智算”AI4ML 社区</w:t>
            </w:r>
          </w:p>
        </w:tc>
        <w:tc>
          <w:tcPr>
            <w:tcW w:w="1417" w:type="dxa"/>
          </w:tcPr>
          <w:p>
            <w:r/>
          </w:p>
        </w:tc>
        <w:tc>
          <w:tcPr>
            <w:tcW w:w="3225" w:type="dxa"/>
          </w:tcPr>
          <w:p>
            <w:r/>
          </w:p>
        </w:tc>
      </w:tr>
      <w:tr w:rsidR="00A83FA6" w:rsidTr="00DE67CD">
        <w:trPr>
          <w:trHeight w:val="278"/>
        </w:trPr>
        <w:tc>
          <w:tcPr>
            <w:tcW w:w="1184" w:type="dxa"/>
          </w:tcPr>
          <w:p>
            <w:r>
              <w:t xml:space="preserve"> 小组成员</w:t>
            </w:r>
          </w:p>
        </w:tc>
        <w:tc>
          <w:tcPr>
            <w:tcW w:w="3744" w:type="dxa"/>
          </w:tcPr>
          <w:p>
            <w:r>
              <w:t>王文浩，王硕宇，王中颢，李宗欣，姜炳丞，王梓琛</w:t>
            </w:r>
          </w:p>
        </w:tc>
        <w:tc>
          <w:tcPr>
            <w:tcW w:w="1417" w:type="dxa"/>
          </w:tcPr>
          <w:p>
            <w:r/>
          </w:p>
        </w:tc>
        <w:tc>
          <w:tcPr>
            <w:tcW w:w="3225" w:type="dxa"/>
          </w:tcPr>
          <w:p>
            <w:r/>
          </w:p>
        </w:tc>
      </w:tr>
      <w:tr w:rsidR="00A83FA6" w:rsidTr="00421498">
        <w:trPr>
          <w:trHeight w:val="468"/>
        </w:trPr>
        <w:tc>
          <w:tcPr>
            <w:tcW w:w="1184" w:type="dxa"/>
          </w:tcPr>
          <w:p>
            <w:r>
              <w:t>填报周期</w:t>
            </w:r>
          </w:p>
        </w:tc>
        <w:tc>
          <w:tcPr>
            <w:tcW w:w="3744" w:type="dxa"/>
          </w:tcPr>
          <w:p>
            <w:r>
              <w:t>2026年4月28日-2026年5月4日</w:t>
            </w:r>
          </w:p>
        </w:tc>
        <w:tc>
          <w:tcPr>
            <w:tcW w:w="1417" w:type="dxa"/>
          </w:tcPr>
          <w:p>
            <w:r>
              <w:t>项目整体状况</w:t>
            </w:r>
          </w:p>
        </w:tc>
        <w:tc>
          <w:tcPr>
            <w:tcW w:w="3225" w:type="dxa"/>
          </w:tcPr>
          <w:p>
            <w:r>
              <w:t>本周选择“工作进展顺利”</w:t>
            </w:r>
          </w:p>
        </w:tc>
      </w:tr>
    </w:tbl>
    <w:p w:rsidR="00A83FA6" w:rsidRDefault="00A83FA6">
      <w:pPr>
        <w:pStyle w:val="DefaultText"/>
        <w:widowControl/>
        <w:tabs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rPr>
          <w:rFonts w:ascii="楷体_GB2312" w:eastAsia="楷体_GB2312" w:hint="eastAsia"/>
          <w:b/>
          <w:bCs/>
          <w:color w:val="000000"/>
          <w:lang w:eastAsia="zh-CN"/>
        </w:rPr>
      </w:pPr>
    </w:p>
    <w:p w:rsidR="00A83FA6" w:rsidRDefault="00A83FA6">
      <w:pPr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项目整体状态说明</w:t>
      </w:r>
    </w:p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1018"/>
        <w:gridCol w:w="8401"/>
      </w:tblGrid>
      <w:tr w:rsidR="00A83FA6" w:rsidTr="00DE67CD">
        <w:trPr>
          <w:trHeight w:val="485"/>
        </w:trPr>
        <w:tc>
          <w:tcPr>
            <w:tcW w:w="1018" w:type="dxa"/>
          </w:tcPr>
          <w:p>
            <w:r>
              <w:t>√</w:t>
            </w:r>
          </w:p>
        </w:tc>
        <w:tc>
          <w:tcPr>
            <w:tcW w:w="8401" w:type="dxa"/>
          </w:tcPr>
          <w:p>
            <w:r>
              <w:t>工作进展顺利</w:t>
            </w:r>
          </w:p>
        </w:tc>
      </w:tr>
      <w:tr w:rsidR="00A83FA6" w:rsidTr="00DE67CD">
        <w:trPr>
          <w:trHeight w:val="485"/>
        </w:trPr>
        <w:tc>
          <w:tcPr>
            <w:tcW w:w="1018" w:type="dxa"/>
          </w:tcPr>
          <w:p>
            <w:r/>
          </w:p>
        </w:tc>
        <w:tc>
          <w:tcPr>
            <w:tcW w:w="8401" w:type="dxa"/>
          </w:tcPr>
          <w:p>
            <w:r>
              <w:t>工作存在较大问题,但在控制之内.</w:t>
            </w:r>
          </w:p>
        </w:tc>
      </w:tr>
      <w:tr w:rsidR="00A83FA6" w:rsidTr="00DE67CD">
        <w:trPr>
          <w:trHeight w:val="485"/>
        </w:trPr>
        <w:tc>
          <w:tcPr>
            <w:tcW w:w="1018" w:type="dxa"/>
          </w:tcPr>
          <w:p>
            <w:r/>
          </w:p>
        </w:tc>
        <w:tc>
          <w:tcPr>
            <w:tcW w:w="8401" w:type="dxa"/>
          </w:tcPr>
          <w:p>
            <w:r>
              <w:t>工作存在重大问题,已对整体工作造成较大影响.</w:t>
            </w:r>
          </w:p>
        </w:tc>
      </w:tr>
    </w:tbl>
    <w:p w:rsidR="00A83FA6" w:rsidRDefault="00A83FA6">
      <w:pPr>
        <w:pStyle w:val="DefaultText"/>
        <w:widowControl/>
        <w:tabs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rPr>
          <w:rFonts w:ascii="楷体_GB2312" w:eastAsia="楷体_GB2312" w:hint="eastAsia"/>
          <w:bCs/>
          <w:color w:val="000000"/>
          <w:lang w:eastAsia="zh-CN"/>
        </w:rPr>
      </w:pPr>
      <w:r>
        <w:t>项目整体进度继续按“第1周启动至2026年6月15日结项”的口径推进，Alpha 主链路在本周从“可运行”继续向“可验收、可协作、可治理”的版本收口。截至2026年5月4日，项目已在上周 Supabase 认证、团队创建 / 加入、OpenAI-compatible 连接器录入 / 测试 / 激活、任务 AI 自动解析和 Token 展示基础上，进一步补齐真实运行链路、代码透明、人机协同、团队治理、资产沉淀和审计追踪能力。本周首先围绕真实运行链路做根因修复：定位并修复 MLZero / AutoGluon Assistant 中会导致“看似成功”的路径，移除本地 sklearn 替代、默认工具选择、非零退出后靠产物恢复成功等兜底逻辑，并通过 5 分钟预算的真实端到端链路验证 AI 解析、AutoGluon 多模型比较、规范 run_summary 和 leaderboard 解析均可闭环。其次，前端工作台完成一轮产品化重构，新增独立 AI 对话页、AI 代码工作区、模型报告、在线预测、人机协同、Token 流水、资产中心和审计入口；任务详情中的候选模型、Token 明细和过程日志改为摘要 + 折叠展示，连接器页面也改为更接近正式配置中心的样式。同时，团队治理和平台数据面继续收敛到 Supabase，已补齐团队设置、所有权转移、连接器编辑 / 停用 / 删除 / 批量健康检查、阶段工作流记录、人工决策记录、TokenLedger 原子扣减、资产发布 / Fork 以及从任务沉淀数据集、模型、报告和工作流资产的入口。当前系统已形成“团队登录—配置模型连接—创建任务—上传 CSV—AI 解析—阶段化执行—查看报告 / 预测 / 代码 / 对话—人工复核—资产沉淀—审计追踪”的 Alpha 验收主链路。后续风险主要集中在 Supabase 线上 schema 需要保持最新、更多 CSV 场景的稳定性覆盖仍需扩大、资产广场运营能力仍偏基础，以及代码工作区仍是运行工件编辑器而非完整 IDE；这些风险已纳入下周联调与演示准备计划，整体仍处于可控范围。</w:t>
      </w:r>
    </w:p>
    <w:p w:rsidR="00A83FA6" w:rsidRDefault="00A83FA6">
      <w:pPr>
        <w:pStyle w:val="TableHeading"/>
        <w:widowControl/>
        <w:numPr>
          <w:ilvl w:val="0"/>
          <w:numId w:val="2"/>
        </w:numPr>
        <w:outlineLvl w:val="0"/>
        <w:rPr>
          <w:rFonts w:hint="eastAsia"/>
          <w:b w:val="0"/>
          <w:color w:val="000000"/>
          <w:lang w:eastAsia="zh-CN"/>
        </w:rPr>
      </w:pPr>
      <w:r>
        <w:t>项目整体情况（实际进度与里程碑的对比情况）</w:t>
      </w:r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010"/>
        <w:gridCol w:w="1543"/>
        <w:gridCol w:w="2871"/>
        <w:gridCol w:w="2073"/>
        <w:gridCol w:w="2073"/>
      </w:tblGrid>
      <w:tr w:rsidR="00A83FA6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>
            <w:r>
              <w:t>序号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>
            <w:r>
              <w:t>任务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>
            <w:r>
              <w:t>子任务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>
            <w:r>
              <w:t>计划完成时间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>
            <w:r>
              <w:t>实际完成时间</w:t>
            </w:r>
          </w:p>
        </w:tc>
      </w:tr>
      <w:tr w:rsidR="00A83FA6">
        <w:trPr>
          <w:trHeight w:val="285"/>
          <w:jc w:val="center"/>
        </w:trPr>
        <w:tc>
          <w:tcPr>
            <w:tcW w:w="10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7</w:t>
            </w:r>
          </w:p>
        </w:tc>
        <w:tc>
          <w:tcPr>
            <w:tcW w:w="154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>
            <w:r>
              <w:t>底座选型与环境验证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阅读项目背景与课程要求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2026/03/24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2026/03/24</w:t>
            </w:r>
          </w:p>
        </w:tc>
      </w:tr>
      <w:tr w:rsidR="00AD080E">
        <w:trPr>
          <w:trHeight w:val="285"/>
          <w:jc w:val="center"/>
        </w:trPr>
        <w:tc>
          <w:tcPr>
            <w:tcW w:w="101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D080E" w:rsidRPr="00E422E9" w:rsidRDefault="00AD080E">
            <w:pPr>
              <w:pStyle w:val="TableText"/>
              <w:ind w:left="0"/>
              <w:jc w:val="center"/>
              <w:rPr>
                <w:rFonts w:ascii="宋体" w:hAnsi="宋体" w:hint="eastAsia"/>
                <w:color w:val="A6A6A6"/>
                <w:lang w:eastAsia="zh-CN"/>
              </w:rPr>
            </w:pPr>
          </w:p>
        </w:tc>
        <w:tc>
          <w:tcPr>
            <w:tcW w:w="1543" w:type="dxa"/>
            <w:vMerge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AD080E" w:rsidRPr="00E422E9" w:rsidRDefault="00AD080E">
            <w:pPr>
              <w:pStyle w:val="TableText"/>
              <w:ind w:left="0"/>
              <w:jc w:val="center"/>
              <w:rPr>
                <w:rFonts w:ascii="宋体" w:hAnsi="宋体" w:hint="eastAsia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梳理三类用户角色与核心需求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2026/03/26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2026/03/26</w:t>
            </w:r>
          </w:p>
        </w:tc>
      </w:tr>
      <w:tr w:rsidR="00A83FA6">
        <w:trPr>
          <w:trHeight w:val="285"/>
          <w:jc w:val="center"/>
        </w:trPr>
        <w:tc>
          <w:tcPr>
            <w:tcW w:w="10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3FA6" w:rsidRPr="00E422E9" w:rsidRDefault="00A83FA6">
            <w:pPr>
              <w:pStyle w:val="TableText"/>
              <w:ind w:left="0"/>
              <w:jc w:val="center"/>
              <w:rPr>
                <w:rFonts w:ascii="宋体" w:hAnsi="宋体" w:hint="eastAsia"/>
                <w:color w:val="A6A6A6"/>
                <w:lang w:eastAsia="zh-CN"/>
              </w:rPr>
            </w:pP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A83FA6" w:rsidRPr="00E422E9" w:rsidRDefault="00A83FA6">
            <w:pPr>
              <w:pStyle w:val="TableText"/>
              <w:ind w:left="0"/>
              <w:jc w:val="center"/>
              <w:rPr>
                <w:rFonts w:ascii="宋体" w:hAnsi="宋体" w:hint="eastAsia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调研开源框架与论文并形成选型初稿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2026/03/28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2026/03/28</w:t>
            </w:r>
          </w:p>
        </w:tc>
      </w:tr>
      <w:tr w:rsidR="00E22963">
        <w:trPr>
          <w:trHeight w:val="285"/>
          <w:jc w:val="center"/>
        </w:trPr>
        <w:tc>
          <w:tcPr>
            <w:tcW w:w="10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 w:hint="eastAsia"/>
                <w:color w:val="A6A6A6"/>
                <w:lang w:eastAsia="zh-CN"/>
              </w:rPr>
            </w:pP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 w:hint="eastAsia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 Alpha 范围收敛与技术路线初判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2026/03/29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2026/03/29</w:t>
            </w:r>
          </w:p>
        </w:tc>
      </w:tr>
      <w:tr w:rsidR="00E22963">
        <w:trPr>
          <w:trHeight w:val="285"/>
          <w:jc w:val="center"/>
        </w:trPr>
        <w:tc>
          <w:tcPr>
            <w:tcW w:w="10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 w:hint="eastAsia"/>
                <w:color w:val="A6A6A6"/>
                <w:lang w:eastAsia="zh-CN"/>
              </w:rPr>
            </w:pP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 w:hint="eastAsia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完成候选底座拉取与对比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2026/04/01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2026/04/01</w:t>
            </w:r>
          </w:p>
        </w:tc>
      </w:tr>
      <w:tr w:rsidR="00E22963">
        <w:trPr>
          <w:trHeight w:val="285"/>
          <w:jc w:val="center"/>
        </w:trPr>
        <w:tc>
          <w:tcPr>
            <w:tcW w:w="10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 w:hint="eastAsia"/>
                <w:color w:val="A6A6A6"/>
                <w:lang w:eastAsia="zh-CN"/>
              </w:rPr>
            </w:pP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 w:hint="eastAsia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确定 MLZero / AutoGluon Assistant 作为长期底座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2026/04/02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2026/04/02</w:t>
            </w:r>
          </w:p>
        </w:tc>
      </w:tr>
      <w:tr w:rsidR="00E22963">
        <w:trPr>
          <w:trHeight w:val="285"/>
          <w:jc w:val="center"/>
        </w:trPr>
        <w:tc>
          <w:tcPr>
            <w:tcW w:w="10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 w:hint="eastAsia"/>
                <w:color w:val="A6A6A6"/>
                <w:lang w:eastAsia="zh-CN"/>
              </w:rPr>
            </w:pPr>
          </w:p>
        </w:tc>
        <w:tc>
          <w:tcPr>
            <w:tcW w:w="154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 w:hint="eastAsia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搭建本地 provider 与运行环境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2026/04/03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2026/04/03</w:t>
            </w:r>
          </w:p>
        </w:tc>
      </w:tr>
      <w:tr w:rsidR="00E22963">
        <w:trPr>
          <w:trHeight w:val="285"/>
          <w:jc w:val="center"/>
        </w:trPr>
        <w:tc>
          <w:tcPr>
            <w:tcW w:w="10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9</w:t>
            </w:r>
          </w:p>
        </w:tc>
        <w:tc>
          <w:tcPr>
            <w:tcW w:w="154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>
            <w:r>
              <w:t>底座选型与环境验证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完成直接执行器与 API 双路径验证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2026/04/05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2026/04/05</w:t>
            </w:r>
          </w:p>
        </w:tc>
      </w:tr>
      <w:tr w:rsidR="00E22963">
        <w:trPr>
          <w:trHeight w:val="285"/>
          <w:jc w:val="center"/>
        </w:trPr>
        <w:tc>
          <w:tcPr>
            <w:tcW w:w="10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 w:hint="eastAsia"/>
                <w:color w:val="A6A6A6"/>
                <w:lang w:eastAsia="zh-CN"/>
              </w:rPr>
            </w:pPr>
          </w:p>
        </w:tc>
        <w:tc>
          <w:tcPr>
            <w:tcW w:w="154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 w:hint="eastAsia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建立 frontend / backend / docs / storage 基础结构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2026/04/05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2026/04/05</w:t>
            </w:r>
          </w:p>
        </w:tc>
      </w:tr>
      <w:tr w:rsidR="00E22963" w:rsidTr="00A83FA6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10</w:t>
            </w:r>
          </w:p>
        </w:tc>
        <w:tc>
          <w:tcPr>
            <w:tcW w:w="154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>
            <w:r>
              <w:t>团队协作与连接器运行时闭环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完成需求分析文档正式版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2026/04/08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2026/04/08</w:t>
            </w:r>
          </w:p>
        </w:tc>
      </w:tr>
      <w:tr w:rsidR="00E22963" w:rsidTr="00A83FA6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11</w:t>
            </w: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完成需求规格说明书 V2.2 与版本对齐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2026/04/12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2026/04/12</w:t>
            </w:r>
          </w:p>
        </w:tc>
      </w:tr>
      <w:tr w:rsidR="00E22963" w:rsidTr="00A83FA6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12</w:t>
            </w: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绘制总体架构图、业务流程和治理流程图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2026/04/11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2026/04/11</w:t>
            </w:r>
          </w:p>
        </w:tc>
      </w:tr>
      <w:tr w:rsidR="00E22963" w:rsidTr="00A83FA6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13</w:t>
            </w: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搭建简单前端页面并完成最小联调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2026/04/08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2026/04/08</w:t>
            </w:r>
          </w:p>
        </w:tc>
      </w:tr>
      <w:tr w:rsidR="00E22963" w:rsidTr="00A83FA6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14</w:t>
            </w: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完成基于华为云模型的新增运行验证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2026/04/09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2026/04/09</w:t>
            </w:r>
          </w:p>
        </w:tc>
      </w:tr>
      <w:tr w:rsidR="00E22963" w:rsidTr="00A83FA6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15</w:t>
            </w: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完成三种角色模型、注册登录与管理员基础接口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2026/04/12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2026/04/12</w:t>
            </w:r>
          </w:p>
        </w:tc>
      </w:tr>
      <w:tr w:rsidR="00E22963" w:rsidTr="00A83FA6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16</w:t>
            </w: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完成需求评审提交版材料并形成 Alpha 基线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2026/04/12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2026/04/12</w:t>
            </w:r>
          </w:p>
        </w:tc>
      </w:tr>
      <w:tr w:rsidR="00E22963" w:rsidTr="00A83FA6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17</w:t>
            </w: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完成前端初始版本并打通前后端连接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2026/04/16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2026/04/16</w:t>
            </w:r>
          </w:p>
        </w:tc>
      </w:tr>
      <w:tr w:rsidR="00E22963" w:rsidTr="00A83FA6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18</w:t>
            </w: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完成云端 / 本地模型兼容与切换验证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2026/04/18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2026/04/18</w:t>
            </w:r>
          </w:p>
        </w:tc>
      </w:tr>
      <w:tr w:rsidR="00E22963" w:rsidTr="00A83FA6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19</w:t>
            </w: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 MLZero 中间过程拆分与可视化展示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2026/04/18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2026/04/18</w:t>
            </w:r>
          </w:p>
        </w:tc>
      </w:tr>
      <w:tr w:rsidR="00E22963" w:rsidTr="00A83FA6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</w:t>
            </w: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更新需求文档并补充 token 统计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2026/04/19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2026/04/19</w:t>
            </w:r>
          </w:p>
        </w:tc>
      </w:tr>
      <w:tr w:rsidR="00E22963" w:rsidTr="00A83FA6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21</w:t>
            </w: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 Alpha 最小闭环 Demo 主链路打通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2026/04/22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2026/04/22</w:t>
            </w:r>
          </w:p>
        </w:tc>
      </w:tr>
      <w:tr w:rsidR="00E22963" w:rsidTr="00A83FA6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22</w:t>
            </w: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 Supabase 认证、团队创建 / 加入与成员关系打通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2026/04/23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2026/04/23</w:t>
            </w:r>
          </w:p>
        </w:tc>
      </w:tr>
      <w:tr w:rsidR="00E22963" w:rsidTr="00A83FA6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23</w:t>
            </w:r>
          </w:p>
        </w:tc>
        <w:tc>
          <w:tcPr>
            <w:tcW w:w="1543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:rsidR="00E22963" w:rsidRPr="00E422E9" w:rsidRDefault="00E22963" w:rsidP="00E22963">
            <w:pPr>
              <w:pStyle w:val="TableText"/>
              <w:ind w:left="0"/>
              <w:jc w:val="center"/>
              <w:rPr>
                <w:rFonts w:ascii="宋体" w:hAnsi="宋体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 OpenAI-compatible 连接器录入、测试与运行时切换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2026/04/24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2026/04/24</w:t>
            </w:r>
          </w:p>
        </w:tc>
      </w:tr>
      <w:tr w:rsidR="000B2BB0" w:rsidTr="00A83FA6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24</w:t>
            </w:r>
          </w:p>
        </w:tc>
        <w:tc>
          <w:tcPr>
            <w:tcW w:w="154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B2BB0" w:rsidRPr="00E422E9" w:rsidRDefault="000B2BB0" w:rsidP="000B2BB0">
            <w:pPr>
              <w:pStyle w:val="TableText"/>
              <w:ind w:left="0"/>
              <w:jc w:val="center"/>
              <w:rPr>
                <w:rFonts w:ascii="宋体" w:hAnsi="宋体"/>
                <w:color w:val="A6A6A6"/>
                <w:lang w:eastAsia="zh-CN"/>
              </w:rPr>
            </w:pP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完成任务 AI 自动解析、Token 统计与结果明细展示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2026/04/26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2026/04/26</w:t>
            </w:r>
          </w:p>
        </w:tc>
      </w:tr>
      <w:tr w:rsidR="000B2BB0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25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平台扩展与联调优化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完成健康状态扩展、provider 联调脚本与环境配置模板补齐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2026/04/26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2026/04/26</w:t>
            </w:r>
          </w:p>
        </w:tc>
      </w:tr>
      <w:tr w:rsidR="000B2BB0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26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历史产物与展示补强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完成独立 AI 对话页、真实代码工作区、运行工件查看 / 编辑 / 下载 / 重跑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2026/05/01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2026/04/28</w:t>
            </w:r>
          </w:p>
        </w:tc>
      </w:tr>
      <w:tr w:rsidR="000B2BB0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27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运行链路稳定性修复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 AutoGluon 根因修复、去除假成功路径并通过真实 5 分钟链路验证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2026/05/01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2026/04/28</w:t>
            </w:r>
          </w:p>
        </w:tc>
      </w:tr>
      <w:tr w:rsidR="000B2BB0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28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前端工作台体验优化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完成浅色工作台视觉重构、任务详情折叠区和连接器配置中心优化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2026/05/02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2026/04/30</w:t>
            </w:r>
          </w:p>
        </w:tc>
      </w:tr>
      <w:tr w:rsidR="000B2BB0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29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团队治理与连接器闭环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完成团队设置、所有权转移、连接器编辑 / 停用 / 删除 / 批量健康检查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2026/05/03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2026/05/02</w:t>
            </w:r>
          </w:p>
        </w:tc>
      </w:tr>
      <w:tr w:rsidR="000B2BB0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30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人机协同与增量重跑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完成确认、修改、驳回、转交、跳过等协同动作和严格阶段增量重跑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2026/05/03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2026/05/02</w:t>
            </w:r>
          </w:p>
        </w:tc>
      </w:tr>
      <w:tr w:rsidR="000B2BB0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31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报告、预测与资产沉淀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完成模型报告、在线预测 Demo、资产发布 / Fork 和从任务沉淀资产入口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2026/05/04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2026/05/03</w:t>
            </w:r>
          </w:p>
        </w:tc>
      </w:tr>
      <w:tr w:rsidR="000B2BB0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32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数据画像与 Token 流水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 CSV 上传限制、数据集画像、阶段耗时 / 日志、TokenLedger 原子扣减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2026/05/04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2026/05/03</w:t>
            </w:r>
          </w:p>
        </w:tc>
      </w:tr>
      <w:tr w:rsidR="000B2BB0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33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平台扩展与联调优化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完成多数据集联调测试、缺陷修复和文档补齐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2026/05/31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进行中</w:t>
            </w:r>
          </w:p>
        </w:tc>
      </w:tr>
      <w:tr w:rsidR="000B2BB0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34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结项与验收准备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完成最终演示脚本、答辩 PPT 和系统说明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2026/06/07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未启动</w:t>
            </w:r>
          </w:p>
        </w:tc>
      </w:tr>
      <w:tr w:rsidR="000B2BB0">
        <w:trPr>
          <w:trHeight w:val="285"/>
          <w:jc w:val="center"/>
        </w:trPr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35</w:t>
            </w:r>
          </w:p>
        </w:tc>
        <w:tc>
          <w:tcPr>
            <w:tcW w:w="1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里程碑4</w:t>
            </w:r>
          </w:p>
        </w:tc>
        <w:tc>
          <w:tcPr>
            <w:tcW w:w="2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完成截至 2026/06/15 的项目最终成果提交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2026/06/15</w:t>
            </w:r>
          </w:p>
        </w:tc>
        <w:tc>
          <w:tcPr>
            <w:tcW w:w="2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未启动</w:t>
            </w:r>
          </w:p>
        </w:tc>
      </w:tr>
    </w:tbl>
    <w:p w:rsidR="00A83FA6" w:rsidRDefault="00A83FA6">
      <w:pPr>
        <w:rPr>
          <w:rFonts w:hint="eastAsia"/>
          <w:color w:val="000000"/>
          <w:lang w:eastAsia="zh-CN"/>
        </w:rPr>
      </w:pPr>
    </w:p>
    <w:p w:rsidR="00A83FA6" w:rsidRDefault="00A83FA6">
      <w:pPr>
        <w:pStyle w:val="TableHeading"/>
        <w:widowControl/>
        <w:numPr>
          <w:ilvl w:val="0"/>
          <w:numId w:val="2"/>
        </w:numPr>
        <w:outlineLvl w:val="0"/>
        <w:rPr>
          <w:rFonts w:hint="eastAsia"/>
          <w:color w:val="000000"/>
          <w:lang w:eastAsia="zh-CN"/>
        </w:rPr>
      </w:pPr>
      <w:r>
        <w:t>工作计划执行情况</w:t>
      </w:r>
    </w:p>
    <w:p w:rsidR="00A83FA6" w:rsidRDefault="00A83FA6">
      <w:pPr>
        <w:pStyle w:val="TableHeading"/>
        <w:widowControl/>
        <w:ind w:left="420"/>
        <w:outlineLvl w:val="0"/>
        <w:rPr>
          <w:rFonts w:hint="eastAsia"/>
          <w:color w:val="000000"/>
          <w:lang w:eastAsia="zh-CN"/>
        </w:rPr>
      </w:pPr>
      <w:r/>
    </w:p>
    <w:p w:rsidR="00A83FA6" w:rsidRPr="00A35EEA" w:rsidRDefault="00A83FA6" w:rsidP="00A35EEA">
      <w:pPr>
        <w:pStyle w:val="TableHeading"/>
        <w:widowControl/>
        <w:ind w:left="420"/>
        <w:outlineLvl w:val="0"/>
        <w:rPr>
          <w:rFonts w:hint="eastAsia"/>
          <w:b w:val="0"/>
          <w:color w:val="000000"/>
          <w:lang w:eastAsia="zh-CN"/>
        </w:rPr>
      </w:pPr>
      <w:r/>
    </w:p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2660"/>
        <w:gridCol w:w="2977"/>
        <w:gridCol w:w="1984"/>
        <w:gridCol w:w="1949"/>
      </w:tblGrid>
      <w:tr w:rsidR="00A83FA6" w:rsidTr="00874C8D">
        <w:trPr>
          <w:tblHeader/>
        </w:trPr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>
            <w:r>
              <w:t>子任务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9D9D9"/>
          </w:tcPr>
          <w:p>
            <w:r>
              <w:t>工作计划执行情况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D9D9"/>
          </w:tcPr>
          <w:p>
            <w:r>
              <w:t>计划完成时间</w:t>
            </w:r>
          </w:p>
        </w:tc>
        <w:tc>
          <w:tcPr>
            <w:tcW w:w="19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>
            <w:r>
              <w:t>负责人 / 完成日期 / 未完成原因</w:t>
            </w:r>
          </w:p>
        </w:tc>
      </w:tr>
      <w:tr w:rsidR="00A83FA6">
        <w:tc>
          <w:tcPr>
            <w:tcW w:w="957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任务5 历史产物与展示补强</w:t>
            </w:r>
          </w:p>
        </w:tc>
      </w:tr>
      <w:tr w:rsidR="0015259D" w:rsidTr="00874C8D"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补齐历史运行入口、AI 对话记录和任务过程可读展示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已完成（100%）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2026/05/01</w:t>
            </w:r>
          </w:p>
        </w:tc>
        <w:tc>
          <w:tcPr>
            <w:tcW w:w="19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王文浩、王硕宇 / 2026/04/28</w:t>
            </w:r>
          </w:p>
        </w:tc>
      </w:tr>
      <w:tr w:rsidR="0015259D" w:rsidTr="00874C8D"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实现代码查看、下载、编辑、版本记录和 Python 工件重跑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已完成（100%）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2026/05/01</w:t>
            </w:r>
          </w:p>
        </w:tc>
        <w:tc>
          <w:tcPr>
            <w:tcW w:w="19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王中颢、李宗欣 / 2026/04/28</w:t>
            </w:r>
          </w:p>
        </w:tc>
      </w:tr>
      <w:tr w:rsidR="0015259D" w:rsidTr="00874C8D"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补齐模型报告摘要、在线预测入口和任务产物资产化展示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已完成（100%）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2026/05/03</w:t>
            </w:r>
          </w:p>
        </w:tc>
        <w:tc>
          <w:tcPr>
            <w:tcW w:w="19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王硕宇、王梓琛 / 2026/05/03</w:t>
            </w:r>
          </w:p>
        </w:tc>
      </w:tr>
      <w:tr w:rsidR="0015259D" w:rsidTr="00874C8D"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整理历史任务与资产中心之间的数据回链和查看入口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已完成（100%）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2026/05/03</w:t>
            </w:r>
          </w:p>
        </w:tc>
        <w:tc>
          <w:tcPr>
            <w:tcW w:w="19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王文浩、王中颢 / 2026/05/03</w:t>
            </w:r>
          </w:p>
        </w:tc>
      </w:tr>
      <w:tr w:rsidR="00A83FA6">
        <w:tc>
          <w:tcPr>
            <w:tcW w:w="957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任务6 平台特色扩展与联调优化</w:t>
            </w:r>
          </w:p>
        </w:tc>
      </w:tr>
      <w:tr w:rsidR="0015259D" w:rsidTr="00874C8D"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修复 AutoGluon 运行根因，移除假成功 / fallback 路径并完成真实链路验证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已完成（100%）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2026/05/01</w:t>
            </w:r>
          </w:p>
        </w:tc>
        <w:tc>
          <w:tcPr>
            <w:tcW w:w="19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姜炳丞、王梓琛 / 2026/04/28</w:t>
            </w:r>
          </w:p>
        </w:tc>
      </w:tr>
      <w:tr w:rsidR="0015259D" w:rsidTr="00874C8D"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优化任务状态流转、失败定位、工作流阶段记录和前端过程可视化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已完成（100%）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2026/05/02</w:t>
            </w:r>
          </w:p>
        </w:tc>
        <w:tc>
          <w:tcPr>
            <w:tcW w:w="19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王文浩、李宗欣 / 2026/05/01</w:t>
            </w:r>
          </w:p>
        </w:tc>
      </w:tr>
      <w:tr w:rsidR="0015259D" w:rsidTr="00874C8D"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完善团队治理、成员权限、连接器生命周期和审计日志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已完成（100%）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2026/05/02</w:t>
            </w:r>
          </w:p>
        </w:tc>
        <w:tc>
          <w:tcPr>
            <w:tcW w:w="19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王中颢、姜炳丞 / 2026/05/02</w:t>
            </w:r>
          </w:p>
        </w:tc>
      </w:tr>
      <w:tr w:rsidR="0015259D" w:rsidTr="00874C8D"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补齐模型报告、在线预测、资产发布 / Fork 与从任务沉淀资产能力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已完成（100%）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2026/05/03</w:t>
            </w:r>
          </w:p>
        </w:tc>
        <w:tc>
          <w:tcPr>
            <w:tcW w:w="19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王硕宇、王梓琛 / 2026/05/03</w:t>
            </w:r>
          </w:p>
        </w:tc>
      </w:tr>
      <w:tr w:rsidR="0015259D" w:rsidTr="00874C8D">
        <w:tc>
          <w:tcPr>
            <w:tcW w:w="2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补齐数据集画像、Token 逐次流水、阶段耗时日志和严格增量重跑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已完成（100%）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>
            <w:r>
              <w:t>2026/05/03</w:t>
            </w:r>
          </w:p>
        </w:tc>
        <w:tc>
          <w:tcPr>
            <w:tcW w:w="19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r>
              <w:t>王文浩、王中颢、李宗欣 / 2026/05/03</w:t>
            </w:r>
          </w:p>
        </w:tc>
      </w:tr>
    </w:tbl>
    <w:p w:rsidR="00F81D1B" w:rsidRDefault="00F81D1B" w:rsidP="00F81D1B">
      <w:pPr>
        <w:pStyle w:val="DefaultText"/>
        <w:widowControl/>
        <w:tabs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rPr>
          <w:rFonts w:hint="eastAsia"/>
          <w:color w:val="000000"/>
          <w:lang w:eastAsia="zh-CN"/>
        </w:rPr>
      </w:pPr>
    </w:p>
    <w:p w:rsidR="00A83FA6" w:rsidRDefault="00A83FA6">
      <w:pPr>
        <w:pStyle w:val="TableHeading"/>
        <w:widowControl/>
        <w:numPr>
          <w:ilvl w:val="0"/>
          <w:numId w:val="2"/>
        </w:numPr>
        <w:outlineLvl w:val="0"/>
        <w:rPr>
          <w:rFonts w:hint="eastAsia"/>
          <w:color w:val="000000"/>
          <w:lang w:eastAsia="zh-CN"/>
        </w:rPr>
      </w:pPr>
      <w:r>
        <w:t>下周工作计划</w:t>
      </w:r>
    </w:p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2626"/>
        <w:gridCol w:w="4385"/>
        <w:gridCol w:w="2559"/>
      </w:tblGrid>
      <w:tr w:rsidR="00A83FA6">
        <w:trPr>
          <w:tblHeader/>
        </w:trPr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>
            <w:r>
              <w:t>子任务</w:t>
            </w:r>
          </w:p>
        </w:tc>
        <w:tc>
          <w:tcPr>
            <w:tcW w:w="4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9D9D9"/>
          </w:tcPr>
          <w:p>
            <w:r>
              <w:t>工作任务</w:t>
            </w:r>
          </w:p>
        </w:tc>
        <w:tc>
          <w:tcPr>
            <w:tcW w:w="255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>
            <w:r>
              <w:t>负责人 / 计划完成日期</w:t>
            </w:r>
          </w:p>
        </w:tc>
      </w:tr>
      <w:tr w:rsidR="00A83FA6">
        <w:tc>
          <w:tcPr>
            <w:tcW w:w="95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任务7 验收链路与演示准备</w:t>
            </w:r>
          </w:p>
        </w:tc>
      </w:tr>
      <w:tr w:rsidR="00A83FA6"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应用最新 Supabase schema 并做端到端验收</w:t>
            </w:r>
          </w:p>
        </w:tc>
        <w:tc>
          <w:tcPr>
            <w:tcW w:w="4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覆盖创建团队、配置连接器、任务上传、运行、报告、预测、资产和审计的完整链路</w:t>
            </w:r>
          </w:p>
        </w:tc>
        <w:tc>
          <w:tcPr>
            <w:tcW w:w="255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王文浩、王硕宇 / 2026/05/07</w:t>
            </w:r>
          </w:p>
        </w:tc>
      </w:tr>
      <w:tr w:rsidR="00A83FA6"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开展更多 CSV 场景联调和失败样本整理</w:t>
            </w:r>
          </w:p>
        </w:tc>
        <w:tc>
          <w:tcPr>
            <w:tcW w:w="4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覆盖分类、回归、缺失值、非 label 目标列、小样本数据等场景，记录兼容性问题</w:t>
            </w:r>
          </w:p>
        </w:tc>
        <w:tc>
          <w:tcPr>
            <w:tcW w:w="255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王中颢、姜炳丞 / 2026/05/08</w:t>
            </w:r>
          </w:p>
        </w:tc>
      </w:tr>
      <w:tr w:rsidR="00A83FA6"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完善代码工作区与人机协同演示脚本</w:t>
            </w:r>
          </w:p>
        </w:tc>
        <w:tc>
          <w:tcPr>
            <w:tcW w:w="4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明确业务成员、开发成员和管理员在代码查看、修改、复核、重跑中的权限边界</w:t>
            </w:r>
          </w:p>
        </w:tc>
        <w:tc>
          <w:tcPr>
            <w:tcW w:w="255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李宗欣、王梓琛 / 2026/05/09</w:t>
            </w:r>
          </w:p>
        </w:tc>
      </w:tr>
      <w:tr w:rsidR="00A83FA6">
        <w:tc>
          <w:tcPr>
            <w:tcW w:w="957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任务8 文档与结项材料准备</w:t>
            </w:r>
          </w:p>
        </w:tc>
      </w:tr>
      <w:tr w:rsidR="00A83FA6"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更新 README、接口说明、需求符合性矩阵并整理阶段汇报材料</w:t>
            </w:r>
          </w:p>
        </w:tc>
        <w:tc>
          <w:tcPr>
            <w:tcW w:w="43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>对齐当前真实能力、未完成限制、环境依赖、P0/P1/P2 验收口径，准备中期展示素材、演示数据和风险清单</w:t>
            </w:r>
          </w:p>
        </w:tc>
        <w:tc>
          <w:tcPr>
            <w:tcW w:w="255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全体成员 / 2026/05/11</w:t>
            </w:r>
          </w:p>
        </w:tc>
      </w:tr>
    </w:tbl>
    <w:p w:rsidR="00A83FA6" w:rsidRDefault="00A83FA6">
      <w:pPr>
        <w:pStyle w:val="DefaultText"/>
        <w:widowControl/>
        <w:tabs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rPr>
          <w:rFonts w:hint="eastAsia"/>
          <w:color w:val="000000"/>
          <w:lang w:eastAsia="zh-CN"/>
        </w:rPr>
      </w:pPr>
    </w:p>
    <w:p w:rsidR="00A83FA6" w:rsidRDefault="00A83FA6">
      <w:pPr>
        <w:pStyle w:val="DefaultText"/>
        <w:widowControl/>
        <w:tabs>
          <w:tab w:val="left" w:pos="1800"/>
          <w:tab w:val="left" w:pos="252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  <w:tab w:val="left" w:pos="7560"/>
          <w:tab w:val="left" w:pos="8280"/>
          <w:tab w:val="left" w:pos="9000"/>
        </w:tabs>
        <w:rPr>
          <w:rFonts w:hint="eastAsia"/>
          <w:color w:val="000000"/>
          <w:lang w:eastAsia="zh-CN"/>
        </w:rPr>
      </w:pPr>
    </w:p>
    <w:sectPr w:rsidR="00A83FA6" w:rsidSect="000371C1">
      <w:footerReference w:type="default" r:id="rId10"/>
      <w:pgSz w:w="11906" w:h="16838"/>
      <w:pgMar w:top="1701" w:right="1134" w:bottom="1276" w:left="1418" w:header="720" w:footer="4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B1609" w:rsidRDefault="00AB1609">
      <w:pPr>
        <w:spacing w:after="0"/>
      </w:pPr>
      <w:r>
        <w:separator/>
      </w:r>
    </w:p>
  </w:endnote>
  <w:endnote w:type="continuationSeparator" w:id="0">
    <w:p w:rsidR="00AB1609" w:rsidRDefault="00AB160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FuturaA Bk BT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3FA6" w:rsidRDefault="00A83FA6">
    <w:pPr>
      <w:pStyle w:val="af2"/>
      <w:ind w:firstLineChars="1900" w:firstLine="3040"/>
      <w:rPr>
        <w:rFonts w:hint="eastAsia"/>
        <w:lang w:eastAsia="zh-CN"/>
      </w:rPr>
    </w:pPr>
    <w:bookmarkStart w:id="2" w:name="TPage"/>
    <w:bookmarkStart w:id="3" w:name="LDate"/>
    <w:r>
      <w:rPr>
        <w:rFonts w:hint="eastAsia"/>
        <w:lang w:eastAsia="zh-CN"/>
      </w:rPr>
      <w:t xml:space="preserve">          </w:t>
    </w:r>
    <w:bookmarkEnd w:id="2"/>
    <w:r>
      <w:rPr>
        <w:rFonts w:hint="eastAsia"/>
        <w:lang w:eastAsia="zh-CN"/>
      </w:rPr>
      <w:t>第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1</w:t>
    </w:r>
    <w:r>
      <w:fldChar w:fldCharType="end"/>
    </w:r>
    <w:r>
      <w:t xml:space="preserve"> </w:t>
    </w:r>
    <w:bookmarkStart w:id="4" w:name="TOf"/>
    <w:r>
      <w:rPr>
        <w:rFonts w:hint="eastAsia"/>
        <w:lang w:eastAsia="zh-CN"/>
      </w:rPr>
      <w:t>页</w:t>
    </w:r>
    <w:r>
      <w:rPr>
        <w:rFonts w:hint="eastAsia"/>
        <w:lang w:eastAsia="zh-CN"/>
      </w:rPr>
      <w:t xml:space="preserve"> </w:t>
    </w:r>
    <w:r>
      <w:t xml:space="preserve"> </w:t>
    </w:r>
    <w:bookmarkEnd w:id="4"/>
    <w:r>
      <w:rPr>
        <w:rFonts w:hint="eastAsia"/>
        <w:lang w:eastAsia="zh-CN"/>
      </w:rPr>
      <w:t>共</w:t>
    </w:r>
    <w: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rPr>
        <w:lang w:val="en-US" w:eastAsia="zh-CN"/>
      </w:rPr>
      <w:t>1</w:t>
    </w:r>
    <w:r>
      <w:fldChar w:fldCharType="end"/>
    </w:r>
    <w:bookmarkStart w:id="5" w:name="LArchive"/>
    <w:bookmarkStart w:id="6" w:name="prop_Archive"/>
    <w:bookmarkStart w:id="7" w:name="prop_Text1"/>
    <w:bookmarkStart w:id="8" w:name="prop_Text2"/>
    <w:bookmarkEnd w:id="3"/>
    <w:bookmarkEnd w:id="5"/>
    <w:bookmarkEnd w:id="6"/>
    <w:bookmarkEnd w:id="7"/>
    <w:bookmarkEnd w:id="8"/>
    <w:r>
      <w:rPr>
        <w:rFonts w:hint="eastAsia"/>
        <w:lang w:eastAsia="zh-CN"/>
      </w:rPr>
      <w:t xml:space="preserve"> </w:t>
    </w:r>
    <w:r>
      <w:rPr>
        <w:rFonts w:hint="eastAsia"/>
        <w:lang w:eastAsia="zh-CN"/>
      </w:rPr>
      <w:t>页</w:t>
    </w:r>
    <w:r>
      <w:rPr>
        <w:rFonts w:hint="eastAsia"/>
        <w:lang w:eastAsia="zh-CN"/>
      </w:rPr>
      <w:tab/>
    </w:r>
    <w:r>
      <w:rPr>
        <w:lang w:eastAsia="zh-CN"/>
      </w:rPr>
      <w:fldChar w:fldCharType="begin"/>
    </w:r>
    <w:r>
      <w:rPr>
        <w:lang w:eastAsia="zh-CN"/>
      </w:rPr>
      <w:instrText xml:space="preserve"> DATE   \* MERGEFORMAT </w:instrText>
    </w:r>
    <w:r>
      <w:rPr>
        <w:lang w:eastAsia="zh-CN"/>
      </w:rPr>
      <w:fldChar w:fldCharType="separate"/>
    </w:r>
    <w:r w:rsidR="00AF3404">
      <w:rPr>
        <w:noProof/>
        <w:lang w:eastAsia="zh-CN"/>
      </w:rPr>
      <w:t>4/20/2026</w:t>
    </w:r>
    <w:r>
      <w:rPr>
        <w:lang w:eastAsia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B1609" w:rsidRDefault="00AB1609">
      <w:pPr>
        <w:spacing w:after="0"/>
      </w:pPr>
      <w:r>
        <w:separator/>
      </w:r>
    </w:p>
  </w:footnote>
  <w:footnote w:type="continuationSeparator" w:id="0">
    <w:p w:rsidR="00AB1609" w:rsidRDefault="00AB160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E"/>
    <w:multiLevelType w:val="multilevel"/>
    <w:tmpl w:val="0000000E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000010"/>
    <w:multiLevelType w:val="multilevel"/>
    <w:tmpl w:val="0000001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b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896965337">
    <w:abstractNumId w:val="0"/>
  </w:num>
  <w:num w:numId="2" w16cid:durableId="483356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hapeLayoutLikeWW8/>
    <w:alignTablesRowByRow/>
    <w:doNotUseHTMLParagraphAutoSpacing/>
    <w:useWord97LineBreakRules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DateSequence" w:val="ymd"/>
    <w:docVar w:name="ID" w:val="WPPSRE"/>
    <w:docVar w:name="Language" w:val="CN"/>
    <w:docVar w:name="MonthNo" w:val="3"/>
    <w:docVar w:name="Version" w:val="2.0.0"/>
  </w:docVars>
  <w:rsids>
    <w:rsidRoot w:val="00172A27"/>
    <w:rsid w:val="00013FD3"/>
    <w:rsid w:val="00015133"/>
    <w:rsid w:val="00016E66"/>
    <w:rsid w:val="00026AAB"/>
    <w:rsid w:val="0002750C"/>
    <w:rsid w:val="00027658"/>
    <w:rsid w:val="000351E4"/>
    <w:rsid w:val="000371C1"/>
    <w:rsid w:val="00040895"/>
    <w:rsid w:val="000446FA"/>
    <w:rsid w:val="000502E0"/>
    <w:rsid w:val="00054808"/>
    <w:rsid w:val="0006101B"/>
    <w:rsid w:val="000625C8"/>
    <w:rsid w:val="0006505F"/>
    <w:rsid w:val="000A2473"/>
    <w:rsid w:val="000B2BB0"/>
    <w:rsid w:val="000C2CA3"/>
    <w:rsid w:val="000C4B54"/>
    <w:rsid w:val="000D249F"/>
    <w:rsid w:val="000D3DAD"/>
    <w:rsid w:val="000E78AC"/>
    <w:rsid w:val="000F01B8"/>
    <w:rsid w:val="00101A2D"/>
    <w:rsid w:val="0010537F"/>
    <w:rsid w:val="0011263C"/>
    <w:rsid w:val="00113C8B"/>
    <w:rsid w:val="00117D00"/>
    <w:rsid w:val="00124A78"/>
    <w:rsid w:val="00136DE0"/>
    <w:rsid w:val="00151031"/>
    <w:rsid w:val="0015259D"/>
    <w:rsid w:val="00155D0D"/>
    <w:rsid w:val="00160388"/>
    <w:rsid w:val="00176BE5"/>
    <w:rsid w:val="00181083"/>
    <w:rsid w:val="00192D10"/>
    <w:rsid w:val="001939D3"/>
    <w:rsid w:val="00193D8D"/>
    <w:rsid w:val="001979EB"/>
    <w:rsid w:val="001A782B"/>
    <w:rsid w:val="001D16A8"/>
    <w:rsid w:val="001E62E1"/>
    <w:rsid w:val="001F092D"/>
    <w:rsid w:val="001F1BAD"/>
    <w:rsid w:val="001F2CBA"/>
    <w:rsid w:val="00200816"/>
    <w:rsid w:val="00231010"/>
    <w:rsid w:val="0027008D"/>
    <w:rsid w:val="0028254D"/>
    <w:rsid w:val="0029062E"/>
    <w:rsid w:val="002B1ADD"/>
    <w:rsid w:val="002D47C8"/>
    <w:rsid w:val="002E526D"/>
    <w:rsid w:val="002E7CA0"/>
    <w:rsid w:val="0032085B"/>
    <w:rsid w:val="00333FA7"/>
    <w:rsid w:val="0035541C"/>
    <w:rsid w:val="00372052"/>
    <w:rsid w:val="00372DFD"/>
    <w:rsid w:val="00373D2D"/>
    <w:rsid w:val="00374C16"/>
    <w:rsid w:val="003A5986"/>
    <w:rsid w:val="003A606F"/>
    <w:rsid w:val="003B53AC"/>
    <w:rsid w:val="003D1CD3"/>
    <w:rsid w:val="003E07FD"/>
    <w:rsid w:val="003F5395"/>
    <w:rsid w:val="004025C2"/>
    <w:rsid w:val="00405209"/>
    <w:rsid w:val="0041199A"/>
    <w:rsid w:val="00421498"/>
    <w:rsid w:val="00440593"/>
    <w:rsid w:val="00447ED7"/>
    <w:rsid w:val="004522BC"/>
    <w:rsid w:val="0045373F"/>
    <w:rsid w:val="0046394A"/>
    <w:rsid w:val="00467C59"/>
    <w:rsid w:val="00471F5A"/>
    <w:rsid w:val="004735A3"/>
    <w:rsid w:val="00482F5A"/>
    <w:rsid w:val="00484BE9"/>
    <w:rsid w:val="00492153"/>
    <w:rsid w:val="004935B2"/>
    <w:rsid w:val="004A47DC"/>
    <w:rsid w:val="004C39F2"/>
    <w:rsid w:val="004C62FE"/>
    <w:rsid w:val="004D239B"/>
    <w:rsid w:val="004E1FAF"/>
    <w:rsid w:val="00510A49"/>
    <w:rsid w:val="005111BA"/>
    <w:rsid w:val="00514C8C"/>
    <w:rsid w:val="005453DE"/>
    <w:rsid w:val="00551105"/>
    <w:rsid w:val="00591484"/>
    <w:rsid w:val="005B7A0C"/>
    <w:rsid w:val="005C21C9"/>
    <w:rsid w:val="005D53D2"/>
    <w:rsid w:val="005D5D93"/>
    <w:rsid w:val="005D6C52"/>
    <w:rsid w:val="005D6E71"/>
    <w:rsid w:val="005E623D"/>
    <w:rsid w:val="005F4478"/>
    <w:rsid w:val="00623344"/>
    <w:rsid w:val="00632611"/>
    <w:rsid w:val="006462D7"/>
    <w:rsid w:val="00646404"/>
    <w:rsid w:val="00655832"/>
    <w:rsid w:val="006625F6"/>
    <w:rsid w:val="006653BD"/>
    <w:rsid w:val="00673CAA"/>
    <w:rsid w:val="00675810"/>
    <w:rsid w:val="00680EAE"/>
    <w:rsid w:val="006A1322"/>
    <w:rsid w:val="006B0799"/>
    <w:rsid w:val="006B3591"/>
    <w:rsid w:val="006C635B"/>
    <w:rsid w:val="006D4DC4"/>
    <w:rsid w:val="006E7C6B"/>
    <w:rsid w:val="006F40BA"/>
    <w:rsid w:val="00714FED"/>
    <w:rsid w:val="007363ED"/>
    <w:rsid w:val="00744BB2"/>
    <w:rsid w:val="00751488"/>
    <w:rsid w:val="00751807"/>
    <w:rsid w:val="00754280"/>
    <w:rsid w:val="00762019"/>
    <w:rsid w:val="00763B5F"/>
    <w:rsid w:val="007667C4"/>
    <w:rsid w:val="00773C35"/>
    <w:rsid w:val="00783407"/>
    <w:rsid w:val="00790FF7"/>
    <w:rsid w:val="007922AA"/>
    <w:rsid w:val="00794968"/>
    <w:rsid w:val="007D254B"/>
    <w:rsid w:val="007D2A93"/>
    <w:rsid w:val="007E7A96"/>
    <w:rsid w:val="007F226C"/>
    <w:rsid w:val="00800855"/>
    <w:rsid w:val="00801D4F"/>
    <w:rsid w:val="00805C04"/>
    <w:rsid w:val="00826042"/>
    <w:rsid w:val="00874C8D"/>
    <w:rsid w:val="008800D9"/>
    <w:rsid w:val="00893EC6"/>
    <w:rsid w:val="008A26C0"/>
    <w:rsid w:val="008B7F65"/>
    <w:rsid w:val="008D6039"/>
    <w:rsid w:val="008E75B7"/>
    <w:rsid w:val="008F2796"/>
    <w:rsid w:val="008F2F4E"/>
    <w:rsid w:val="008F5F53"/>
    <w:rsid w:val="00903BE7"/>
    <w:rsid w:val="009076F2"/>
    <w:rsid w:val="0092237F"/>
    <w:rsid w:val="0094303A"/>
    <w:rsid w:val="00956164"/>
    <w:rsid w:val="0096223D"/>
    <w:rsid w:val="00970C86"/>
    <w:rsid w:val="009776D5"/>
    <w:rsid w:val="00991DE9"/>
    <w:rsid w:val="00997AEC"/>
    <w:rsid w:val="009B060B"/>
    <w:rsid w:val="009B10F1"/>
    <w:rsid w:val="009B1D91"/>
    <w:rsid w:val="009B4E70"/>
    <w:rsid w:val="009B5E93"/>
    <w:rsid w:val="009D54C6"/>
    <w:rsid w:val="009E13EB"/>
    <w:rsid w:val="00A10C4E"/>
    <w:rsid w:val="00A32CEB"/>
    <w:rsid w:val="00A35EEA"/>
    <w:rsid w:val="00A43390"/>
    <w:rsid w:val="00A709C3"/>
    <w:rsid w:val="00A83FA6"/>
    <w:rsid w:val="00AA41EC"/>
    <w:rsid w:val="00AB052C"/>
    <w:rsid w:val="00AB1609"/>
    <w:rsid w:val="00AB6FD0"/>
    <w:rsid w:val="00AD080E"/>
    <w:rsid w:val="00AD08A0"/>
    <w:rsid w:val="00AD2010"/>
    <w:rsid w:val="00AD75F6"/>
    <w:rsid w:val="00AF2DF6"/>
    <w:rsid w:val="00AF3404"/>
    <w:rsid w:val="00B127F0"/>
    <w:rsid w:val="00B17710"/>
    <w:rsid w:val="00B239C5"/>
    <w:rsid w:val="00B419C9"/>
    <w:rsid w:val="00B4304E"/>
    <w:rsid w:val="00B460C3"/>
    <w:rsid w:val="00B873FC"/>
    <w:rsid w:val="00B9160C"/>
    <w:rsid w:val="00B9562D"/>
    <w:rsid w:val="00BC5345"/>
    <w:rsid w:val="00BC7E06"/>
    <w:rsid w:val="00BD1CC7"/>
    <w:rsid w:val="00BE0BDC"/>
    <w:rsid w:val="00BF06EF"/>
    <w:rsid w:val="00C126CA"/>
    <w:rsid w:val="00C22A4E"/>
    <w:rsid w:val="00C313AC"/>
    <w:rsid w:val="00C3479F"/>
    <w:rsid w:val="00C4249C"/>
    <w:rsid w:val="00C42913"/>
    <w:rsid w:val="00C55116"/>
    <w:rsid w:val="00C85A04"/>
    <w:rsid w:val="00C9135C"/>
    <w:rsid w:val="00C91BF9"/>
    <w:rsid w:val="00C9406B"/>
    <w:rsid w:val="00C969B4"/>
    <w:rsid w:val="00C97CD4"/>
    <w:rsid w:val="00CA4C6E"/>
    <w:rsid w:val="00CB45B0"/>
    <w:rsid w:val="00CB6D96"/>
    <w:rsid w:val="00CD67F9"/>
    <w:rsid w:val="00CE232A"/>
    <w:rsid w:val="00CE2DD6"/>
    <w:rsid w:val="00CF6256"/>
    <w:rsid w:val="00CF6D50"/>
    <w:rsid w:val="00D005BA"/>
    <w:rsid w:val="00D00AF0"/>
    <w:rsid w:val="00D00C0A"/>
    <w:rsid w:val="00D04260"/>
    <w:rsid w:val="00D353AA"/>
    <w:rsid w:val="00D37204"/>
    <w:rsid w:val="00D5370B"/>
    <w:rsid w:val="00D63510"/>
    <w:rsid w:val="00D66A6D"/>
    <w:rsid w:val="00D7106A"/>
    <w:rsid w:val="00D75D37"/>
    <w:rsid w:val="00D84500"/>
    <w:rsid w:val="00DA7A00"/>
    <w:rsid w:val="00DC5534"/>
    <w:rsid w:val="00DE67CD"/>
    <w:rsid w:val="00DF7719"/>
    <w:rsid w:val="00E002FE"/>
    <w:rsid w:val="00E020A2"/>
    <w:rsid w:val="00E051C6"/>
    <w:rsid w:val="00E05781"/>
    <w:rsid w:val="00E22963"/>
    <w:rsid w:val="00E31BD9"/>
    <w:rsid w:val="00E422E9"/>
    <w:rsid w:val="00E50D58"/>
    <w:rsid w:val="00E53722"/>
    <w:rsid w:val="00E55EE8"/>
    <w:rsid w:val="00E61664"/>
    <w:rsid w:val="00E71C26"/>
    <w:rsid w:val="00E72DC8"/>
    <w:rsid w:val="00EB6C9A"/>
    <w:rsid w:val="00EC69B4"/>
    <w:rsid w:val="00ED0FD9"/>
    <w:rsid w:val="00ED36DE"/>
    <w:rsid w:val="00ED7B50"/>
    <w:rsid w:val="00EE1322"/>
    <w:rsid w:val="00EF6B11"/>
    <w:rsid w:val="00F019B1"/>
    <w:rsid w:val="00F03E72"/>
    <w:rsid w:val="00F24759"/>
    <w:rsid w:val="00F27EFF"/>
    <w:rsid w:val="00F52B68"/>
    <w:rsid w:val="00F61FAA"/>
    <w:rsid w:val="00F66335"/>
    <w:rsid w:val="00F800AC"/>
    <w:rsid w:val="00F81D1B"/>
    <w:rsid w:val="00F86999"/>
    <w:rsid w:val="00FA254A"/>
    <w:rsid w:val="00FA3737"/>
    <w:rsid w:val="00FB2AEB"/>
    <w:rsid w:val="00FE1F21"/>
    <w:rsid w:val="00FE6D27"/>
    <w:rsid w:val="00FE74C1"/>
    <w:rsid w:val="2FA96237"/>
    <w:rsid w:val="4FB73F02"/>
    <w:rsid w:val="577EDD1E"/>
    <w:rsid w:val="5DFE5E56"/>
    <w:rsid w:val="6D310EDE"/>
    <w:rsid w:val="6FAFFC6D"/>
    <w:rsid w:val="7BBDE9AC"/>
    <w:rsid w:val="7CBFED24"/>
    <w:rsid w:val="B4E1519D"/>
    <w:rsid w:val="DBFBA326"/>
    <w:rsid w:val="DDFFDD71"/>
    <w:rsid w:val="DFFF32DF"/>
    <w:rsid w:val="E2BF546B"/>
    <w:rsid w:val="EFFBB6AA"/>
    <w:rsid w:val="FBB9BFDE"/>
    <w:rsid w:val="FE7F6D36"/>
    <w:rsid w:val="FEFE7A9C"/>
    <w:rsid w:val="FF7F00AA"/>
    <w:rsid w:val="FFAB0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43A46A3-1519-4C09-9A7B-E5FCBCFB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/>
    <w:lsdException w:name="annotation reference" w:uiPriority="0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uiPriority="0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uiPriority="0"/>
    <w:lsdException w:name="Strong" w:uiPriority="22" w:qFormat="1"/>
    <w:lsdException w:name="Emphasis" w:uiPriority="20" w:qFormat="1"/>
    <w:lsdException w:name="Document Map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0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spacing w:after="120"/>
      <w:textAlignment w:val="baseline"/>
    </w:pPr>
    <w:rPr>
      <w:rFonts w:ascii="Arial" w:hAnsi="Arial"/>
      <w:lang w:eastAsia="en-US"/>
    </w:rPr>
  </w:style>
  <w:style w:type="paragraph" w:styleId="1">
    <w:name w:val="heading 1"/>
    <w:basedOn w:val="a"/>
    <w:next w:val="a"/>
    <w:qFormat/>
    <w:pPr>
      <w:keepNext/>
      <w:keepLines/>
      <w:pageBreakBefore/>
      <w:numPr>
        <w:numId w:val="1"/>
      </w:numPr>
      <w:pBdr>
        <w:top w:val="single" w:sz="12" w:space="1" w:color="auto"/>
      </w:pBdr>
      <w:spacing w:before="142" w:after="113"/>
      <w:ind w:left="652" w:hanging="652"/>
      <w:outlineLvl w:val="0"/>
    </w:pPr>
    <w:rPr>
      <w:b/>
      <w:kern w:val="28"/>
      <w:sz w:val="36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pBdr>
        <w:top w:val="single" w:sz="6" w:space="1" w:color="auto"/>
      </w:pBdr>
      <w:spacing w:before="425" w:after="113"/>
      <w:ind w:left="652" w:hanging="652"/>
      <w:outlineLvl w:val="1"/>
    </w:pPr>
    <w:rPr>
      <w:b/>
      <w:sz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425" w:after="113"/>
      <w:ind w:left="794" w:hanging="794"/>
      <w:outlineLvl w:val="2"/>
    </w:pPr>
    <w:rPr>
      <w:b/>
      <w:i/>
      <w:sz w:val="28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b/>
      <w:iCs/>
      <w:sz w:val="24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sz w:val="22"/>
      <w:lang w:val="da-DK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i/>
      <w:sz w:val="22"/>
      <w:lang w:val="da-DK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i/>
      <w:sz w:val="18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批注文字 字符"/>
    <w:link w:val="a4"/>
    <w:rPr>
      <w:rFonts w:ascii="Arial" w:hAnsi="Arial"/>
      <w:lang w:eastAsia="en-US"/>
    </w:rPr>
  </w:style>
  <w:style w:type="character" w:styleId="a5">
    <w:name w:val="footnote reference"/>
    <w:rPr>
      <w:vertAlign w:val="superscript"/>
    </w:rPr>
  </w:style>
  <w:style w:type="character" w:styleId="a6">
    <w:name w:val="annotation reference"/>
    <w:rPr>
      <w:sz w:val="21"/>
      <w:szCs w:val="21"/>
    </w:rPr>
  </w:style>
  <w:style w:type="character" w:styleId="a7">
    <w:name w:val="Hyperlink"/>
    <w:rPr>
      <w:color w:val="0000FF"/>
      <w:u w:val="single"/>
    </w:rPr>
  </w:style>
  <w:style w:type="character" w:styleId="a8">
    <w:name w:val="FollowedHyperlink"/>
    <w:rPr>
      <w:color w:val="800080"/>
      <w:u w:val="single"/>
    </w:rPr>
  </w:style>
  <w:style w:type="character" w:customStyle="1" w:styleId="a9">
    <w:name w:val="批注主题 字符"/>
    <w:link w:val="aa"/>
    <w:rPr>
      <w:rFonts w:ascii="Arial" w:hAnsi="Arial"/>
      <w:b/>
      <w:bCs/>
      <w:lang w:eastAsia="en-US"/>
    </w:rPr>
  </w:style>
  <w:style w:type="character" w:styleId="ab">
    <w:name w:val="page number"/>
    <w:basedOn w:val="a0"/>
  </w:style>
  <w:style w:type="paragraph" w:customStyle="1" w:styleId="DefaultText">
    <w:name w:val="Default Text"/>
    <w:basedOn w:val="a"/>
    <w:pPr>
      <w:widowControl w:val="0"/>
      <w:overflowPunct/>
      <w:spacing w:after="100"/>
      <w:textAlignment w:val="auto"/>
    </w:pPr>
    <w:rPr>
      <w:rFonts w:cs="Arial"/>
    </w:rPr>
  </w:style>
  <w:style w:type="paragraph" w:customStyle="1" w:styleId="HeadingB">
    <w:name w:val="Heading B"/>
    <w:basedOn w:val="2"/>
    <w:next w:val="ac"/>
    <w:pPr>
      <w:numPr>
        <w:numId w:val="0"/>
      </w:numPr>
      <w:outlineLvl w:val="9"/>
    </w:pPr>
  </w:style>
  <w:style w:type="paragraph" w:customStyle="1" w:styleId="HeadingA">
    <w:name w:val="Heading A"/>
    <w:basedOn w:val="1"/>
    <w:next w:val="ac"/>
    <w:pPr>
      <w:numPr>
        <w:numId w:val="0"/>
      </w:numPr>
      <w:outlineLvl w:val="9"/>
    </w:pPr>
  </w:style>
  <w:style w:type="paragraph" w:customStyle="1" w:styleId="ERG">
    <w:name w:val="ERG表格正文"/>
    <w:basedOn w:val="a"/>
    <w:pPr>
      <w:widowControl w:val="0"/>
      <w:overflowPunct/>
      <w:autoSpaceDE/>
      <w:autoSpaceDN/>
      <w:adjustRightInd/>
      <w:spacing w:after="0"/>
      <w:jc w:val="both"/>
      <w:textAlignment w:val="auto"/>
    </w:pPr>
    <w:rPr>
      <w:rFonts w:ascii="Times New Roman" w:hAnsi="Times New Roman"/>
      <w:kern w:val="2"/>
      <w:sz w:val="18"/>
      <w:szCs w:val="24"/>
      <w:lang w:eastAsia="zh-CN"/>
    </w:rPr>
  </w:style>
  <w:style w:type="paragraph" w:customStyle="1" w:styleId="TableText">
    <w:name w:val="Table Text"/>
    <w:basedOn w:val="ac"/>
    <w:pPr>
      <w:spacing w:after="0"/>
      <w:ind w:left="28" w:right="28"/>
    </w:pPr>
  </w:style>
  <w:style w:type="paragraph" w:customStyle="1" w:styleId="HeadingC">
    <w:name w:val="Heading C"/>
    <w:basedOn w:val="3"/>
    <w:next w:val="ac"/>
    <w:pPr>
      <w:numPr>
        <w:numId w:val="0"/>
      </w:numPr>
      <w:outlineLvl w:val="9"/>
    </w:pPr>
  </w:style>
  <w:style w:type="paragraph" w:customStyle="1" w:styleId="TableHeading">
    <w:name w:val="Table Heading"/>
    <w:basedOn w:val="a"/>
    <w:pPr>
      <w:widowControl w:val="0"/>
      <w:overflowPunct/>
      <w:spacing w:after="0"/>
      <w:textAlignment w:val="auto"/>
    </w:pPr>
    <w:rPr>
      <w:rFonts w:cs="Arial"/>
      <w:b/>
      <w:bCs/>
    </w:rPr>
  </w:style>
  <w:style w:type="paragraph" w:styleId="aa">
    <w:name w:val="annotation subject"/>
    <w:basedOn w:val="a4"/>
    <w:next w:val="a4"/>
    <w:link w:val="a9"/>
    <w:rPr>
      <w:b/>
      <w:bCs/>
    </w:rPr>
  </w:style>
  <w:style w:type="paragraph" w:styleId="ad">
    <w:name w:val="Title"/>
    <w:basedOn w:val="a"/>
    <w:qFormat/>
    <w:pPr>
      <w:spacing w:before="240" w:after="60"/>
      <w:jc w:val="right"/>
    </w:pPr>
    <w:rPr>
      <w:b/>
      <w:kern w:val="28"/>
      <w:sz w:val="28"/>
    </w:rPr>
  </w:style>
  <w:style w:type="paragraph" w:styleId="20">
    <w:name w:val="Body Text 2"/>
    <w:basedOn w:val="a"/>
    <w:pPr>
      <w:tabs>
        <w:tab w:val="left" w:pos="360"/>
      </w:tabs>
      <w:overflowPunct/>
      <w:autoSpaceDE/>
      <w:autoSpaceDN/>
      <w:adjustRightInd/>
      <w:spacing w:after="0" w:line="240" w:lineRule="atLeast"/>
      <w:textAlignment w:val="auto"/>
    </w:pPr>
    <w:rPr>
      <w:rFonts w:ascii="Times New Roman" w:eastAsia="PMingLiU" w:hAnsi="Times New Roman"/>
      <w:snapToGrid w:val="0"/>
      <w:color w:val="000000"/>
    </w:rPr>
  </w:style>
  <w:style w:type="paragraph" w:styleId="TOC9">
    <w:name w:val="toc 9"/>
    <w:basedOn w:val="a"/>
    <w:next w:val="a"/>
    <w:pPr>
      <w:tabs>
        <w:tab w:val="right" w:leader="dot" w:pos="9355"/>
      </w:tabs>
      <w:ind w:left="1600"/>
    </w:pPr>
  </w:style>
  <w:style w:type="paragraph" w:styleId="TOC6">
    <w:name w:val="toc 6"/>
    <w:basedOn w:val="a"/>
    <w:next w:val="a"/>
    <w:pPr>
      <w:tabs>
        <w:tab w:val="right" w:leader="dot" w:pos="9355"/>
      </w:tabs>
      <w:ind w:left="1000"/>
    </w:pPr>
  </w:style>
  <w:style w:type="paragraph" w:styleId="ae">
    <w:name w:val="Revision"/>
    <w:rPr>
      <w:rFonts w:ascii="Arial" w:hAnsi="Arial"/>
      <w:lang w:eastAsia="en-US"/>
    </w:rPr>
  </w:style>
  <w:style w:type="paragraph" w:styleId="af">
    <w:name w:val="footnote text"/>
    <w:basedOn w:val="a"/>
    <w:pPr>
      <w:snapToGrid w:val="0"/>
    </w:pPr>
    <w:rPr>
      <w:sz w:val="18"/>
      <w:szCs w:val="18"/>
    </w:rPr>
  </w:style>
  <w:style w:type="paragraph" w:styleId="af0">
    <w:name w:val="Subtitle"/>
    <w:basedOn w:val="a"/>
    <w:qFormat/>
    <w:pPr>
      <w:spacing w:after="60"/>
      <w:jc w:val="right"/>
    </w:pPr>
    <w:rPr>
      <w:i/>
      <w:sz w:val="24"/>
    </w:rPr>
  </w:style>
  <w:style w:type="paragraph" w:styleId="TOC4">
    <w:name w:val="toc 4"/>
    <w:basedOn w:val="a"/>
    <w:next w:val="a"/>
    <w:pPr>
      <w:tabs>
        <w:tab w:val="right" w:leader="dot" w:pos="9355"/>
      </w:tabs>
      <w:ind w:left="600"/>
    </w:pPr>
  </w:style>
  <w:style w:type="paragraph" w:styleId="TOC1">
    <w:name w:val="toc 1"/>
    <w:basedOn w:val="a"/>
    <w:next w:val="a"/>
    <w:pPr>
      <w:tabs>
        <w:tab w:val="right" w:leader="dot" w:pos="9355"/>
      </w:tabs>
    </w:pPr>
    <w:rPr>
      <w:sz w:val="24"/>
    </w:rPr>
  </w:style>
  <w:style w:type="paragraph" w:styleId="af1">
    <w:name w:val="header"/>
    <w:basedOn w:val="a"/>
    <w:pPr>
      <w:pBdr>
        <w:bottom w:val="single" w:sz="6" w:space="3" w:color="auto"/>
      </w:pBdr>
      <w:tabs>
        <w:tab w:val="center" w:pos="4678"/>
      </w:tabs>
    </w:pPr>
  </w:style>
  <w:style w:type="paragraph" w:styleId="af2">
    <w:name w:val="footer"/>
    <w:basedOn w:val="a"/>
    <w:pPr>
      <w:pBdr>
        <w:top w:val="single" w:sz="6" w:space="1" w:color="auto"/>
      </w:pBdr>
      <w:tabs>
        <w:tab w:val="left" w:pos="1418"/>
        <w:tab w:val="right" w:pos="9356"/>
      </w:tabs>
      <w:spacing w:after="0"/>
    </w:pPr>
    <w:rPr>
      <w:sz w:val="16"/>
    </w:rPr>
  </w:style>
  <w:style w:type="paragraph" w:styleId="af3">
    <w:name w:val="Balloon Text"/>
    <w:basedOn w:val="a"/>
    <w:rPr>
      <w:sz w:val="18"/>
      <w:szCs w:val="18"/>
    </w:rPr>
  </w:style>
  <w:style w:type="paragraph" w:styleId="TOC8">
    <w:name w:val="toc 8"/>
    <w:basedOn w:val="a"/>
    <w:next w:val="a"/>
    <w:pPr>
      <w:tabs>
        <w:tab w:val="right" w:leader="dot" w:pos="9355"/>
      </w:tabs>
      <w:ind w:left="1400"/>
    </w:pPr>
  </w:style>
  <w:style w:type="paragraph" w:customStyle="1" w:styleId="CharChar">
    <w:name w:val="正文 Char Char"/>
    <w:pPr>
      <w:widowControl w:val="0"/>
    </w:pPr>
  </w:style>
  <w:style w:type="paragraph" w:styleId="TOC3">
    <w:name w:val="toc 3"/>
    <w:basedOn w:val="a"/>
    <w:next w:val="a"/>
    <w:pPr>
      <w:tabs>
        <w:tab w:val="right" w:leader="dot" w:pos="9355"/>
      </w:tabs>
      <w:ind w:left="400"/>
    </w:pPr>
  </w:style>
  <w:style w:type="paragraph" w:styleId="TOC5">
    <w:name w:val="toc 5"/>
    <w:basedOn w:val="a"/>
    <w:next w:val="a"/>
    <w:pPr>
      <w:tabs>
        <w:tab w:val="right" w:leader="dot" w:pos="9355"/>
      </w:tabs>
      <w:ind w:left="800"/>
    </w:pPr>
  </w:style>
  <w:style w:type="paragraph" w:styleId="af4">
    <w:name w:val="Body Text Indent"/>
    <w:basedOn w:val="a"/>
    <w:next w:val="ac"/>
    <w:pPr>
      <w:ind w:left="283"/>
    </w:pPr>
    <w:rPr>
      <w:i/>
      <w:color w:val="0000FF"/>
    </w:rPr>
  </w:style>
  <w:style w:type="paragraph" w:styleId="ac">
    <w:name w:val="Body Text"/>
    <w:basedOn w:val="a"/>
    <w:pPr>
      <w:spacing w:after="215"/>
    </w:pPr>
  </w:style>
  <w:style w:type="paragraph" w:customStyle="1" w:styleId="ItalicizedTableText">
    <w:name w:val="Italicized Table Text"/>
    <w:basedOn w:val="a"/>
    <w:pPr>
      <w:widowControl w:val="0"/>
      <w:overflowPunct/>
      <w:spacing w:after="0"/>
      <w:textAlignment w:val="auto"/>
    </w:pPr>
    <w:rPr>
      <w:rFonts w:cs="Arial"/>
      <w:i/>
      <w:iCs/>
    </w:rPr>
  </w:style>
  <w:style w:type="paragraph" w:styleId="a4">
    <w:name w:val="annotation text"/>
    <w:basedOn w:val="a"/>
    <w:link w:val="a3"/>
  </w:style>
  <w:style w:type="paragraph" w:customStyle="1" w:styleId="10">
    <w:name w:val="正文首行缩进1"/>
    <w:basedOn w:val="a"/>
    <w:pPr>
      <w:widowControl w:val="0"/>
      <w:overflowPunct/>
      <w:autoSpaceDE/>
      <w:autoSpaceDN/>
      <w:adjustRightInd/>
      <w:spacing w:before="120" w:line="360" w:lineRule="auto"/>
      <w:ind w:firstLineChars="200" w:firstLine="200"/>
      <w:jc w:val="both"/>
      <w:textAlignment w:val="auto"/>
    </w:pPr>
    <w:rPr>
      <w:rFonts w:ascii="Times New Roman" w:hAnsi="Times New Roman"/>
      <w:kern w:val="2"/>
      <w:sz w:val="21"/>
      <w:szCs w:val="24"/>
      <w:lang w:eastAsia="zh-CN"/>
    </w:rPr>
  </w:style>
  <w:style w:type="paragraph" w:styleId="af5">
    <w:name w:val="Document Map"/>
    <w:basedOn w:val="a"/>
    <w:pPr>
      <w:shd w:val="clear" w:color="auto" w:fill="000080"/>
    </w:pPr>
  </w:style>
  <w:style w:type="paragraph" w:customStyle="1" w:styleId="SubFooter">
    <w:name w:val="SubFooter"/>
    <w:basedOn w:val="af2"/>
    <w:pPr>
      <w:pBdr>
        <w:top w:val="none" w:sz="0" w:space="0" w:color="auto"/>
      </w:pBdr>
    </w:pPr>
    <w:rPr>
      <w:sz w:val="12"/>
    </w:rPr>
  </w:style>
  <w:style w:type="paragraph" w:styleId="TOC7">
    <w:name w:val="toc 7"/>
    <w:basedOn w:val="a"/>
    <w:next w:val="a"/>
    <w:pPr>
      <w:tabs>
        <w:tab w:val="right" w:leader="dot" w:pos="9355"/>
      </w:tabs>
      <w:ind w:left="1200"/>
    </w:pPr>
  </w:style>
  <w:style w:type="paragraph" w:styleId="TOC2">
    <w:name w:val="toc 2"/>
    <w:basedOn w:val="a"/>
    <w:next w:val="a"/>
    <w:pPr>
      <w:tabs>
        <w:tab w:val="right" w:leader="dot" w:pos="9355"/>
      </w:tabs>
      <w:ind w:left="200"/>
    </w:pPr>
  </w:style>
  <w:style w:type="paragraph" w:styleId="af6">
    <w:name w:val="Normal Indent"/>
    <w:basedOn w:val="a"/>
    <w:pPr>
      <w:widowControl w:val="0"/>
      <w:overflowPunct/>
      <w:autoSpaceDE/>
      <w:autoSpaceDN/>
      <w:snapToGrid w:val="0"/>
      <w:spacing w:after="0"/>
      <w:ind w:firstLine="420"/>
      <w:jc w:val="both"/>
      <w:textAlignment w:val="auto"/>
    </w:pPr>
    <w:rPr>
      <w:rFonts w:ascii="Times New Roman" w:hAnsi="Times New Roman"/>
      <w:kern w:val="2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IBMFSAP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IBMFSAP.DOT</Template>
  <TotalTime>0</TotalTime>
  <Pages>2</Pages>
  <Words>282</Words>
  <Characters>1611</Characters>
  <Application>Microsoft Office Word</Application>
  <DocSecurity>0</DocSecurity>
  <PresentationFormat/>
  <Lines>13</Lines>
  <Paragraphs>3</Paragraphs>
  <Slides>0</Slides>
  <Notes>0</Notes>
  <HiddenSlides>0</HiddenSlides>
  <MMClips>0</MMClips>
  <ScaleCrop>false</ScaleCrop>
  <Company>IBM</Company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Status Report</dc:title>
  <dc:subject>IBM Extensions for Word Processors</dc:subject>
  <dc:creator>Qiao GenXin</dc:creator>
  <cp:keywords/>
  <cp:lastModifiedBy>8615666383390</cp:lastModifiedBy>
  <cp:revision>2</cp:revision>
  <cp:lastPrinted>2004-09-24T21:32:00Z</cp:lastPrinted>
  <dcterms:created xsi:type="dcterms:W3CDTF">2026-04-20T07:21:00Z</dcterms:created>
  <dcterms:modified xsi:type="dcterms:W3CDTF">2026-04-20T07:21:00Z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