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EF9" w:rsidRDefault="000A0EF9" w:rsidP="000A0EF9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Борьба с отмыванием денег</w:t>
      </w:r>
      <w:bookmarkStart w:id="0" w:name="_GoBack"/>
      <w:bookmarkEnd w:id="0"/>
    </w:p>
    <w:p w:rsidR="000A0EF9" w:rsidRPr="00C821FD" w:rsidRDefault="000A0EF9" w:rsidP="000A0EF9">
      <w:pPr>
        <w:pStyle w:val="a3"/>
        <w:spacing w:before="6"/>
        <w:rPr>
          <w:b/>
          <w:sz w:val="19"/>
          <w:lang w:val="ru-MD"/>
        </w:rPr>
      </w:pPr>
    </w:p>
    <w:p w:rsidR="000A0EF9" w:rsidRPr="000A0EF9" w:rsidRDefault="000A0EF9" w:rsidP="000A0EF9">
      <w:pPr>
        <w:pStyle w:val="a3"/>
        <w:ind w:left="114" w:right="279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В данной Политике содержится информация о том, что компания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Dragon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Capital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LTD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 (далее по тексту</w:t>
      </w:r>
    </w:p>
    <w:p w:rsidR="000A0EF9" w:rsidRPr="000A0EF9" w:rsidRDefault="000A0EF9" w:rsidP="000A0EF9">
      <w:pPr>
        <w:pStyle w:val="a3"/>
        <w:ind w:left="114" w:right="187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«Компания») придерживается высоких стандартов по борьбе с отмыванием денежных средств (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AML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) и финансированием терроризма (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CFT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). В связи с этим Компания осуществляет комплекс мероприятий, цель которых – выявление и противодействие</w:t>
      </w:r>
    </w:p>
    <w:p w:rsidR="000A0EF9" w:rsidRPr="000A0EF9" w:rsidRDefault="000A0EF9" w:rsidP="000A0EF9">
      <w:pPr>
        <w:pStyle w:val="a3"/>
        <w:ind w:left="114" w:right="681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легализации средств, полученных преступным путем, в соответствии с международными</w:t>
      </w:r>
    </w:p>
    <w:p w:rsidR="000A0EF9" w:rsidRPr="000A0EF9" w:rsidRDefault="000A0EF9" w:rsidP="000A0EF9">
      <w:pPr>
        <w:pStyle w:val="a3"/>
        <w:ind w:left="114"/>
        <w:rPr>
          <w:rFonts w:ascii="Arial" w:hAnsi="Arial" w:cs="Arial"/>
          <w:color w:val="808080" w:themeColor="background1" w:themeShade="80"/>
          <w:sz w:val="18"/>
          <w:szCs w:val="18"/>
        </w:rPr>
      </w:pP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требованиями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по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данному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аспекту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.</w:t>
      </w:r>
    </w:p>
    <w:p w:rsidR="000A0EF9" w:rsidRDefault="000A0EF9" w:rsidP="000A0EF9">
      <w:pPr>
        <w:pStyle w:val="a3"/>
        <w:spacing w:before="2"/>
      </w:pPr>
    </w:p>
    <w:p w:rsidR="000A0EF9" w:rsidRPr="006C31C7" w:rsidRDefault="000A0EF9" w:rsidP="000A0EF9">
      <w:pPr>
        <w:pStyle w:val="1"/>
        <w:numPr>
          <w:ilvl w:val="0"/>
          <w:numId w:val="3"/>
        </w:numPr>
        <w:tabs>
          <w:tab w:val="left" w:pos="315"/>
        </w:tabs>
        <w:ind w:right="702" w:firstLine="0"/>
        <w:rPr>
          <w:rFonts w:ascii="Georgia" w:hAnsi="Georgia"/>
        </w:rPr>
      </w:pPr>
      <w:r w:rsidRPr="006C31C7">
        <w:rPr>
          <w:rFonts w:ascii="Georgia" w:hAnsi="Georgia"/>
        </w:rPr>
        <w:t>ИДЕНТИФИКАЦИЯ И</w:t>
      </w:r>
      <w:r w:rsidRPr="006C31C7">
        <w:rPr>
          <w:rFonts w:ascii="Georgia" w:hAnsi="Georgia"/>
          <w:spacing w:val="-38"/>
        </w:rPr>
        <w:t xml:space="preserve"> </w:t>
      </w:r>
      <w:r w:rsidRPr="006C31C7">
        <w:rPr>
          <w:rFonts w:ascii="Georgia" w:hAnsi="Georgia"/>
        </w:rPr>
        <w:t>ВЕРИФИКАЦИЯ КЛИЕНТОВ</w:t>
      </w:r>
    </w:p>
    <w:p w:rsidR="000A0EF9" w:rsidRDefault="000A0EF9" w:rsidP="000A0EF9">
      <w:pPr>
        <w:pStyle w:val="a3"/>
        <w:spacing w:before="3"/>
        <w:rPr>
          <w:b/>
          <w:sz w:val="19"/>
        </w:rPr>
      </w:pPr>
    </w:p>
    <w:p w:rsidR="000A0EF9" w:rsidRPr="000A0EF9" w:rsidRDefault="000A0EF9" w:rsidP="000A0EF9">
      <w:pPr>
        <w:pStyle w:val="a5"/>
        <w:numPr>
          <w:ilvl w:val="1"/>
          <w:numId w:val="3"/>
        </w:numPr>
        <w:tabs>
          <w:tab w:val="left" w:pos="460"/>
        </w:tabs>
        <w:ind w:right="243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Согласно политикам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AML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и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KYC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(«Знай</w:t>
      </w:r>
      <w:r w:rsidRPr="000A0EF9">
        <w:rPr>
          <w:rFonts w:ascii="Arial" w:hAnsi="Arial" w:cs="Arial"/>
          <w:color w:val="808080" w:themeColor="background1" w:themeShade="80"/>
          <w:spacing w:val="-35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своего клиента»), Компания идентифицирует и верифицирует Клиента, основываясь на документах и данных, как в начале, так и в процессе предоставления услуг</w:t>
      </w:r>
      <w:r w:rsidRPr="000A0EF9">
        <w:rPr>
          <w:rFonts w:ascii="Arial" w:hAnsi="Arial" w:cs="Arial"/>
          <w:color w:val="808080" w:themeColor="background1" w:themeShade="80"/>
          <w:spacing w:val="-4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Клиенту.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3"/>
        </w:numPr>
        <w:tabs>
          <w:tab w:val="left" w:pos="460"/>
        </w:tabs>
        <w:ind w:right="368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В процессе регистрации Клиентпредоставляет Компании идентифицирующую</w:t>
      </w:r>
      <w:r w:rsidRPr="000A0EF9">
        <w:rPr>
          <w:rFonts w:ascii="Arial" w:hAnsi="Arial" w:cs="Arial"/>
          <w:color w:val="808080" w:themeColor="background1" w:themeShade="80"/>
          <w:spacing w:val="-13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информацию,</w:t>
      </w:r>
    </w:p>
    <w:p w:rsidR="000A0EF9" w:rsidRPr="000A0EF9" w:rsidRDefault="000A0EF9" w:rsidP="000A0EF9">
      <w:pPr>
        <w:pStyle w:val="a3"/>
        <w:spacing w:line="230" w:lineRule="exact"/>
        <w:ind w:left="114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которая включает полное имя Клиента, дату</w:t>
      </w:r>
    </w:p>
    <w:p w:rsidR="000A0EF9" w:rsidRPr="000A0EF9" w:rsidRDefault="000A0EF9" w:rsidP="000A0EF9">
      <w:pPr>
        <w:pStyle w:val="a3"/>
        <w:spacing w:before="1"/>
        <w:ind w:left="114" w:right="460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рождения, страну проживания, номер телефона и электронную почту.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2"/>
        </w:numPr>
        <w:tabs>
          <w:tab w:val="left" w:pos="413"/>
        </w:tabs>
        <w:ind w:hanging="299"/>
        <w:rPr>
          <w:rFonts w:ascii="Arial" w:hAnsi="Arial" w:cs="Arial"/>
          <w:color w:val="808080" w:themeColor="background1" w:themeShade="80"/>
          <w:sz w:val="18"/>
          <w:szCs w:val="21"/>
        </w:rPr>
      </w:pP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После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получения</w:t>
      </w:r>
      <w:proofErr w:type="spellEnd"/>
      <w:r w:rsidRPr="000A0EF9">
        <w:rPr>
          <w:rFonts w:ascii="Arial" w:hAnsi="Arial" w:cs="Arial"/>
          <w:color w:val="808080" w:themeColor="background1" w:themeShade="80"/>
          <w:spacing w:val="-3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идентифицирующей</w:t>
      </w:r>
      <w:proofErr w:type="spellEnd"/>
    </w:p>
    <w:p w:rsidR="000A0EF9" w:rsidRPr="000A0EF9" w:rsidRDefault="000A0EF9" w:rsidP="000A0EF9">
      <w:pPr>
        <w:pStyle w:val="a3"/>
        <w:spacing w:before="1"/>
        <w:ind w:left="114" w:right="662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информации Компания проводит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верификацию Клиента путем запроса соответствующих</w:t>
      </w:r>
    </w:p>
    <w:p w:rsidR="000A0EF9" w:rsidRPr="000A0EF9" w:rsidRDefault="000A0EF9" w:rsidP="000A0EF9">
      <w:pPr>
        <w:pStyle w:val="a3"/>
        <w:ind w:left="114"/>
        <w:rPr>
          <w:rFonts w:ascii="Arial" w:hAnsi="Arial" w:cs="Arial"/>
          <w:color w:val="808080" w:themeColor="background1" w:themeShade="80"/>
          <w:sz w:val="18"/>
          <w:szCs w:val="18"/>
        </w:rPr>
      </w:pP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документов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.</w:t>
      </w:r>
    </w:p>
    <w:p w:rsidR="000A0EF9" w:rsidRPr="000A0EF9" w:rsidRDefault="000A0EF9" w:rsidP="000A0EF9">
      <w:pPr>
        <w:pStyle w:val="a3"/>
        <w:spacing w:before="1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:rsidR="000A0EF9" w:rsidRPr="000A0EF9" w:rsidRDefault="000A0EF9" w:rsidP="000A0EF9">
      <w:pPr>
        <w:pStyle w:val="a5"/>
        <w:numPr>
          <w:ilvl w:val="2"/>
          <w:numId w:val="2"/>
        </w:numPr>
        <w:tabs>
          <w:tab w:val="left" w:pos="605"/>
        </w:tabs>
        <w:ind w:right="1114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Документом, предназначенным для верификации личности Клиента,</w:t>
      </w:r>
      <w:r w:rsidRPr="000A0EF9">
        <w:rPr>
          <w:rFonts w:ascii="Arial" w:hAnsi="Arial" w:cs="Arial"/>
          <w:color w:val="808080" w:themeColor="background1" w:themeShade="80"/>
          <w:spacing w:val="-9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является</w:t>
      </w:r>
    </w:p>
    <w:p w:rsidR="000A0EF9" w:rsidRPr="000A0EF9" w:rsidRDefault="000A0EF9" w:rsidP="000A0EF9">
      <w:pPr>
        <w:pStyle w:val="a3"/>
        <w:ind w:left="114" w:right="232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высококачественная сканированная копия или фото паспорта, водительского удостоверения илилюбого другого национального документа, подтверждающего личность.</w:t>
      </w:r>
    </w:p>
    <w:p w:rsidR="000A0EF9" w:rsidRPr="000A0EF9" w:rsidRDefault="000A0EF9" w:rsidP="000A0EF9">
      <w:pPr>
        <w:pStyle w:val="a3"/>
        <w:spacing w:before="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2"/>
          <w:numId w:val="2"/>
        </w:numPr>
        <w:tabs>
          <w:tab w:val="left" w:pos="605"/>
        </w:tabs>
        <w:ind w:right="998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Документом, подтверждающим</w:t>
      </w:r>
      <w:r w:rsidRPr="000A0EF9">
        <w:rPr>
          <w:rFonts w:ascii="Arial" w:hAnsi="Arial" w:cs="Arial"/>
          <w:color w:val="808080" w:themeColor="background1" w:themeShade="80"/>
          <w:spacing w:val="-35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адрес проживания,является высококачественная сканированная копия или фото счета</w:t>
      </w:r>
      <w:r w:rsidRPr="000A0EF9">
        <w:rPr>
          <w:rFonts w:ascii="Arial" w:hAnsi="Arial" w:cs="Arial"/>
          <w:color w:val="808080" w:themeColor="background1" w:themeShade="80"/>
          <w:spacing w:val="-17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за</w:t>
      </w:r>
    </w:p>
    <w:p w:rsidR="000A0EF9" w:rsidRPr="000A0EF9" w:rsidRDefault="000A0EF9" w:rsidP="000A0EF9">
      <w:pPr>
        <w:pStyle w:val="a3"/>
        <w:ind w:left="114" w:right="596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коммунальные услуги или из банка не старше 3 месяцев.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1"/>
        </w:numPr>
        <w:tabs>
          <w:tab w:val="left" w:pos="460"/>
        </w:tabs>
        <w:ind w:right="299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По запросу Компании Клиент должен предоставить сканированную копию или фото лицевой и обратной стороны платежной карты. На лицевой стороне карты должны быть видныполное имя владельца карты, дата истечения</w:t>
      </w:r>
      <w:r w:rsidRPr="000A0EF9">
        <w:rPr>
          <w:rFonts w:ascii="Arial" w:hAnsi="Arial" w:cs="Arial"/>
          <w:color w:val="808080" w:themeColor="background1" w:themeShade="80"/>
          <w:spacing w:val="-21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действия</w:t>
      </w:r>
    </w:p>
    <w:p w:rsidR="000A0EF9" w:rsidRPr="000A0EF9" w:rsidRDefault="000A0EF9" w:rsidP="000A0EF9">
      <w:pPr>
        <w:pStyle w:val="a3"/>
        <w:spacing w:before="2"/>
        <w:ind w:left="114" w:right="420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карты, а также первые 6 и последние 4 цифры номера карты. На обратной стороне должна быть видна подпись владельца карты,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CVC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2/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CVV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2 код должен быть закрыт.</w:t>
      </w:r>
    </w:p>
    <w:p w:rsidR="000A0EF9" w:rsidRPr="000A0EF9" w:rsidRDefault="000A0EF9" w:rsidP="000A0EF9">
      <w:pPr>
        <w:pStyle w:val="a5"/>
        <w:numPr>
          <w:ilvl w:val="1"/>
          <w:numId w:val="5"/>
        </w:numPr>
        <w:tabs>
          <w:tab w:val="left" w:pos="493"/>
        </w:tabs>
        <w:spacing w:before="136"/>
        <w:ind w:right="341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Компания проводит регулярнуюкомплексную проверку Клиента и его счетов с</w:t>
      </w:r>
      <w:r w:rsidRPr="000A0EF9">
        <w:rPr>
          <w:rFonts w:ascii="Arial" w:hAnsi="Arial" w:cs="Arial"/>
          <w:color w:val="808080" w:themeColor="background1" w:themeShade="80"/>
          <w:spacing w:val="-12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целью</w:t>
      </w:r>
    </w:p>
    <w:p w:rsidR="000A0EF9" w:rsidRPr="000A0EF9" w:rsidRDefault="000A0EF9" w:rsidP="000A0EF9">
      <w:pPr>
        <w:pStyle w:val="a3"/>
        <w:spacing w:before="1"/>
        <w:ind w:left="138" w:right="608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определения риска, который он может нести, и выявления изменений информации о Клиенте.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21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5"/>
        </w:numPr>
        <w:tabs>
          <w:tab w:val="left" w:pos="492"/>
        </w:tabs>
        <w:spacing w:before="149"/>
        <w:ind w:left="491" w:hanging="354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В случае, если Компания полагает,</w:t>
      </w:r>
      <w:r w:rsidRPr="000A0EF9">
        <w:rPr>
          <w:rFonts w:ascii="Arial" w:hAnsi="Arial" w:cs="Arial"/>
          <w:color w:val="808080" w:themeColor="background1" w:themeShade="80"/>
          <w:spacing w:val="-8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что</w:t>
      </w:r>
    </w:p>
    <w:p w:rsidR="000A0EF9" w:rsidRPr="000A0EF9" w:rsidRDefault="000A0EF9" w:rsidP="000A0EF9">
      <w:pPr>
        <w:pStyle w:val="a3"/>
        <w:spacing w:before="1"/>
        <w:ind w:left="138" w:right="259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сотрудничество с Клиентом имеет высокий риск отмывания денег или финансирования терроризма,</w:t>
      </w:r>
    </w:p>
    <w:p w:rsidR="000A0EF9" w:rsidRPr="000A0EF9" w:rsidRDefault="000A0EF9" w:rsidP="000A0EF9">
      <w:pPr>
        <w:pStyle w:val="a3"/>
        <w:ind w:left="138" w:right="461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Компания имеет право запросить любые другие дополнительные документы, которые она сочтет необходимыми в данной ситуации.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21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5"/>
        </w:numPr>
        <w:tabs>
          <w:tab w:val="left" w:pos="493"/>
        </w:tabs>
        <w:spacing w:before="146"/>
        <w:ind w:right="562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Клиент обязан незамедлительно сообщать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о любых изменениях в личной информации или контактных</w:t>
      </w:r>
      <w:r w:rsidRPr="000A0EF9">
        <w:rPr>
          <w:rFonts w:ascii="Arial" w:hAnsi="Arial" w:cs="Arial"/>
          <w:color w:val="808080" w:themeColor="background1" w:themeShade="80"/>
          <w:spacing w:val="-1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данных.</w:t>
      </w:r>
    </w:p>
    <w:p w:rsidR="000A0EF9" w:rsidRPr="00C821FD" w:rsidRDefault="000A0EF9" w:rsidP="000A0EF9">
      <w:pPr>
        <w:pStyle w:val="a3"/>
        <w:spacing w:before="10"/>
        <w:rPr>
          <w:lang w:val="ru-MD"/>
        </w:rPr>
      </w:pPr>
    </w:p>
    <w:p w:rsidR="000A0EF9" w:rsidRPr="006C31C7" w:rsidRDefault="000A0EF9" w:rsidP="000A0EF9">
      <w:pPr>
        <w:pStyle w:val="1"/>
        <w:numPr>
          <w:ilvl w:val="0"/>
          <w:numId w:val="4"/>
        </w:numPr>
        <w:tabs>
          <w:tab w:val="left" w:pos="340"/>
        </w:tabs>
        <w:rPr>
          <w:rFonts w:ascii="Georgia" w:hAnsi="Georgia"/>
        </w:rPr>
      </w:pPr>
      <w:r w:rsidRPr="006C31C7">
        <w:rPr>
          <w:rFonts w:ascii="Georgia" w:hAnsi="Georgia"/>
        </w:rPr>
        <w:t>ПОЛИТИКА</w:t>
      </w:r>
      <w:r w:rsidRPr="006C31C7">
        <w:rPr>
          <w:rFonts w:ascii="Georgia" w:hAnsi="Georgia"/>
          <w:spacing w:val="-4"/>
        </w:rPr>
        <w:t xml:space="preserve"> </w:t>
      </w:r>
      <w:r w:rsidRPr="006C31C7">
        <w:rPr>
          <w:rFonts w:ascii="Georgia" w:hAnsi="Georgia"/>
        </w:rPr>
        <w:t>ПЛАТЕЖЕЙ</w:t>
      </w:r>
    </w:p>
    <w:p w:rsidR="000A0EF9" w:rsidRDefault="000A0EF9" w:rsidP="000A0EF9">
      <w:pPr>
        <w:pStyle w:val="a3"/>
        <w:spacing w:before="2"/>
        <w:rPr>
          <w:b/>
          <w:sz w:val="19"/>
        </w:rPr>
      </w:pPr>
    </w:p>
    <w:p w:rsidR="000A0EF9" w:rsidRPr="000A0EF9" w:rsidRDefault="000A0EF9" w:rsidP="000A0EF9">
      <w:pPr>
        <w:pStyle w:val="a5"/>
        <w:numPr>
          <w:ilvl w:val="1"/>
          <w:numId w:val="4"/>
        </w:numPr>
        <w:tabs>
          <w:tab w:val="left" w:pos="487"/>
        </w:tabs>
        <w:spacing w:before="1"/>
        <w:rPr>
          <w:rFonts w:ascii="Arial" w:hAnsi="Arial" w:cs="Arial"/>
          <w:color w:val="808080" w:themeColor="background1" w:themeShade="80"/>
          <w:sz w:val="18"/>
          <w:szCs w:val="21"/>
        </w:rPr>
      </w:pP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Для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того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,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чтобы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минимизировать</w:t>
      </w:r>
      <w:proofErr w:type="spellEnd"/>
      <w:r w:rsidRPr="000A0EF9">
        <w:rPr>
          <w:rFonts w:ascii="Arial" w:hAnsi="Arial" w:cs="Arial"/>
          <w:color w:val="808080" w:themeColor="background1" w:themeShade="80"/>
          <w:spacing w:val="-8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риск</w:t>
      </w:r>
      <w:proofErr w:type="spellEnd"/>
    </w:p>
    <w:p w:rsidR="000A0EF9" w:rsidRPr="000A0EF9" w:rsidRDefault="000A0EF9" w:rsidP="000A0EF9">
      <w:pPr>
        <w:pStyle w:val="a3"/>
        <w:ind w:left="138" w:right="304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отмывания денежных средств и финансирования террористических действий, Компания не принимает наличные деньги в качестве депозита и не выплачивает наличные деньги ни при каких обстоятельствах.</w:t>
      </w:r>
    </w:p>
    <w:p w:rsidR="000A0EF9" w:rsidRPr="000A0EF9" w:rsidRDefault="000A0EF9" w:rsidP="000A0EF9">
      <w:pPr>
        <w:pStyle w:val="a3"/>
        <w:spacing w:before="9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4"/>
        </w:numPr>
        <w:tabs>
          <w:tab w:val="left" w:pos="488"/>
        </w:tabs>
        <w:spacing w:before="1"/>
        <w:ind w:left="138" w:right="337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Компания оставляет за собой право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отказаться обработать транзакцию на любой её стадии</w:t>
      </w:r>
      <w:r w:rsidRPr="000A0EF9">
        <w:rPr>
          <w:rFonts w:ascii="Arial" w:hAnsi="Arial" w:cs="Arial"/>
          <w:color w:val="808080" w:themeColor="background1" w:themeShade="80"/>
          <w:spacing w:val="-21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в</w:t>
      </w:r>
    </w:p>
    <w:p w:rsidR="000A0EF9" w:rsidRPr="000A0EF9" w:rsidRDefault="000A0EF9" w:rsidP="000A0EF9">
      <w:pPr>
        <w:pStyle w:val="a3"/>
        <w:spacing w:before="2"/>
        <w:ind w:left="138" w:right="242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случае предположения, что транзакция каким-либо образом связана с отмыванием денег или преступной деятельностью.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4"/>
        </w:numPr>
        <w:tabs>
          <w:tab w:val="left" w:pos="488"/>
        </w:tabs>
        <w:ind w:left="138" w:right="272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Согласно международному законодательству, Компания не информирует клиента о том, что о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его подозрительной деятельности</w:t>
      </w:r>
      <w:r w:rsidRPr="000A0EF9">
        <w:rPr>
          <w:rFonts w:ascii="Arial" w:hAnsi="Arial" w:cs="Arial"/>
          <w:color w:val="808080" w:themeColor="background1" w:themeShade="80"/>
          <w:spacing w:val="-8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уведомлены</w:t>
      </w:r>
    </w:p>
    <w:p w:rsidR="000A0EF9" w:rsidRPr="000A0EF9" w:rsidRDefault="000A0EF9" w:rsidP="000A0EF9">
      <w:pPr>
        <w:pStyle w:val="a3"/>
        <w:spacing w:line="229" w:lineRule="exact"/>
        <w:ind w:left="138"/>
        <w:rPr>
          <w:rFonts w:ascii="Arial" w:hAnsi="Arial" w:cs="Arial"/>
          <w:color w:val="808080" w:themeColor="background1" w:themeShade="80"/>
          <w:sz w:val="18"/>
          <w:szCs w:val="18"/>
        </w:rPr>
      </w:pP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соответствующие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органы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.</w:t>
      </w:r>
    </w:p>
    <w:p w:rsidR="000A0EF9" w:rsidRPr="000A0EF9" w:rsidRDefault="000A0EF9" w:rsidP="000A0EF9">
      <w:pPr>
        <w:pStyle w:val="a3"/>
        <w:spacing w:before="1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:rsidR="000A0EF9" w:rsidRPr="000A0EF9" w:rsidRDefault="000A0EF9" w:rsidP="000A0EF9">
      <w:pPr>
        <w:pStyle w:val="a5"/>
        <w:numPr>
          <w:ilvl w:val="1"/>
          <w:numId w:val="4"/>
        </w:numPr>
        <w:tabs>
          <w:tab w:val="left" w:pos="492"/>
        </w:tabs>
        <w:ind w:left="491" w:hanging="354"/>
        <w:rPr>
          <w:rFonts w:ascii="Arial" w:hAnsi="Arial" w:cs="Arial"/>
          <w:color w:val="808080" w:themeColor="background1" w:themeShade="80"/>
          <w:sz w:val="18"/>
          <w:szCs w:val="21"/>
        </w:rPr>
      </w:pP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При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операции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пополнения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имя</w:t>
      </w:r>
      <w:proofErr w:type="spellEnd"/>
      <w:r w:rsidRPr="000A0EF9">
        <w:rPr>
          <w:rFonts w:ascii="Arial" w:hAnsi="Arial" w:cs="Arial"/>
          <w:color w:val="808080" w:themeColor="background1" w:themeShade="80"/>
          <w:spacing w:val="-21"/>
          <w:sz w:val="18"/>
          <w:szCs w:val="21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отправителя</w:t>
      </w:r>
      <w:proofErr w:type="spellEnd"/>
    </w:p>
    <w:p w:rsidR="000A0EF9" w:rsidRPr="000A0EF9" w:rsidRDefault="000A0EF9" w:rsidP="000A0EF9">
      <w:pPr>
        <w:pStyle w:val="a3"/>
        <w:spacing w:before="2"/>
        <w:ind w:left="138" w:right="238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средств должно полностью соответствовать имени, указанному при регистрации счета.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Платежи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от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третьих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лиц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не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принимаются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.</w:t>
      </w:r>
    </w:p>
    <w:p w:rsidR="000A0EF9" w:rsidRPr="000A0EF9" w:rsidRDefault="000A0EF9" w:rsidP="000A0EF9">
      <w:pPr>
        <w:pStyle w:val="a3"/>
        <w:spacing w:before="10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:rsidR="000A0EF9" w:rsidRPr="000A0EF9" w:rsidRDefault="000A0EF9" w:rsidP="000A0EF9">
      <w:pPr>
        <w:pStyle w:val="a5"/>
        <w:numPr>
          <w:ilvl w:val="1"/>
          <w:numId w:val="4"/>
        </w:numPr>
        <w:tabs>
          <w:tab w:val="left" w:pos="493"/>
        </w:tabs>
        <w:ind w:left="138" w:right="696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Компания требует строгого следования общепринятому порядку пополнения и</w:t>
      </w:r>
      <w:r w:rsidRPr="000A0EF9">
        <w:rPr>
          <w:rFonts w:ascii="Arial" w:hAnsi="Arial" w:cs="Arial"/>
          <w:color w:val="808080" w:themeColor="background1" w:themeShade="80"/>
          <w:spacing w:val="-26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снятия</w:t>
      </w:r>
    </w:p>
    <w:p w:rsidR="000A0EF9" w:rsidRPr="000A0EF9" w:rsidRDefault="000A0EF9" w:rsidP="000A0EF9">
      <w:pPr>
        <w:pStyle w:val="a3"/>
        <w:spacing w:before="1"/>
        <w:ind w:left="138" w:right="409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средств. Денежные средства могут быть снятына счета того-же самого лица, со счета которого производилось пополнение. При снятии имя получателя должно точно соответствовать имени клиента в базе данных Компании.</w:t>
      </w:r>
    </w:p>
    <w:p w:rsidR="000A0EF9" w:rsidRPr="000A0EF9" w:rsidRDefault="000A0EF9" w:rsidP="000A0EF9">
      <w:pPr>
        <w:pStyle w:val="a5"/>
        <w:numPr>
          <w:ilvl w:val="1"/>
          <w:numId w:val="7"/>
        </w:numPr>
        <w:tabs>
          <w:tab w:val="left" w:pos="522"/>
        </w:tabs>
        <w:spacing w:before="158"/>
        <w:ind w:right="283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Для</w:t>
      </w:r>
      <w:r w:rsidRPr="000A0EF9">
        <w:rPr>
          <w:rFonts w:ascii="Arial" w:hAnsi="Arial" w:cs="Arial"/>
          <w:color w:val="808080" w:themeColor="background1" w:themeShade="80"/>
          <w:spacing w:val="-21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исполнения</w:t>
      </w:r>
      <w:r w:rsidRPr="000A0EF9">
        <w:rPr>
          <w:rFonts w:ascii="Arial" w:hAnsi="Arial" w:cs="Arial"/>
          <w:color w:val="808080" w:themeColor="background1" w:themeShade="80"/>
          <w:spacing w:val="-18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процедур</w:t>
      </w:r>
      <w:r w:rsidRPr="000A0EF9">
        <w:rPr>
          <w:rFonts w:ascii="Arial" w:hAnsi="Arial" w:cs="Arial"/>
          <w:color w:val="808080" w:themeColor="background1" w:themeShade="80"/>
          <w:spacing w:val="-16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по</w:t>
      </w:r>
      <w:r w:rsidRPr="000A0EF9">
        <w:rPr>
          <w:rFonts w:ascii="Arial" w:hAnsi="Arial" w:cs="Arial"/>
          <w:color w:val="808080" w:themeColor="background1" w:themeShade="80"/>
          <w:spacing w:val="-19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противодействию легализации денежных средств,</w:t>
      </w:r>
      <w:r w:rsidRPr="000A0EF9">
        <w:rPr>
          <w:rFonts w:ascii="Arial" w:hAnsi="Arial" w:cs="Arial"/>
          <w:color w:val="808080" w:themeColor="background1" w:themeShade="80"/>
          <w:spacing w:val="-5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полученных</w:t>
      </w:r>
    </w:p>
    <w:p w:rsidR="000A0EF9" w:rsidRPr="000A0EF9" w:rsidRDefault="000A0EF9" w:rsidP="000A0EF9">
      <w:pPr>
        <w:pStyle w:val="a3"/>
        <w:spacing w:before="1"/>
        <w:ind w:left="170" w:right="299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незаконным путем, вывод средств осуществляется только в тех валютах, в которых производилось пополнение или валюте торгового счёта.</w:t>
      </w:r>
    </w:p>
    <w:p w:rsidR="000A0EF9" w:rsidRPr="000A0EF9" w:rsidRDefault="000A0EF9" w:rsidP="000A0EF9">
      <w:pPr>
        <w:pStyle w:val="a3"/>
        <w:spacing w:before="11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7"/>
        </w:numPr>
        <w:tabs>
          <w:tab w:val="left" w:pos="620"/>
        </w:tabs>
        <w:ind w:right="106" w:firstLine="0"/>
        <w:jc w:val="both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Компания хранит данные о транзакциях </w:t>
      </w:r>
      <w:r w:rsidRPr="000A0EF9">
        <w:rPr>
          <w:rFonts w:ascii="Arial" w:hAnsi="Arial" w:cs="Arial"/>
          <w:color w:val="808080" w:themeColor="background1" w:themeShade="80"/>
          <w:spacing w:val="-12"/>
          <w:sz w:val="18"/>
          <w:szCs w:val="21"/>
          <w:lang w:val="ru-MD"/>
        </w:rPr>
        <w:t xml:space="preserve">в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течение 5 лет с момента завершения действия договора с</w:t>
      </w:r>
      <w:r w:rsidRPr="000A0EF9">
        <w:rPr>
          <w:rFonts w:ascii="Arial" w:hAnsi="Arial" w:cs="Arial"/>
          <w:color w:val="808080" w:themeColor="background1" w:themeShade="80"/>
          <w:spacing w:val="-3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Клиентом.</w:t>
      </w:r>
    </w:p>
    <w:p w:rsidR="000A0EF9" w:rsidRPr="00C821FD" w:rsidRDefault="000A0EF9" w:rsidP="000A0EF9">
      <w:pPr>
        <w:pStyle w:val="a3"/>
        <w:spacing w:before="6"/>
        <w:rPr>
          <w:lang w:val="ru-MD"/>
        </w:rPr>
      </w:pPr>
    </w:p>
    <w:p w:rsidR="000A0EF9" w:rsidRPr="006C31C7" w:rsidRDefault="000A0EF9" w:rsidP="000A0EF9">
      <w:pPr>
        <w:pStyle w:val="1"/>
        <w:numPr>
          <w:ilvl w:val="0"/>
          <w:numId w:val="6"/>
        </w:numPr>
        <w:tabs>
          <w:tab w:val="left" w:pos="370"/>
        </w:tabs>
        <w:ind w:hanging="203"/>
        <w:jc w:val="both"/>
        <w:rPr>
          <w:rFonts w:ascii="Georgia" w:hAnsi="Georgia"/>
        </w:rPr>
      </w:pPr>
      <w:r w:rsidRPr="006C31C7">
        <w:rPr>
          <w:rFonts w:ascii="Georgia" w:hAnsi="Georgia"/>
        </w:rPr>
        <w:t>ОБУЧЕНИЕ</w:t>
      </w:r>
      <w:r w:rsidRPr="006C31C7">
        <w:rPr>
          <w:rFonts w:ascii="Georgia" w:hAnsi="Georgia"/>
          <w:spacing w:val="-6"/>
        </w:rPr>
        <w:t xml:space="preserve"> </w:t>
      </w:r>
      <w:r w:rsidRPr="006C31C7">
        <w:rPr>
          <w:rFonts w:ascii="Georgia" w:hAnsi="Georgia"/>
        </w:rPr>
        <w:t>СОТРУДНИКОВ</w:t>
      </w:r>
    </w:p>
    <w:p w:rsidR="000A0EF9" w:rsidRPr="000A0EF9" w:rsidRDefault="000A0EF9" w:rsidP="000A0EF9">
      <w:pPr>
        <w:pStyle w:val="a3"/>
        <w:spacing w:before="5"/>
        <w:rPr>
          <w:rFonts w:ascii="Arial" w:hAnsi="Arial" w:cs="Arial"/>
          <w:b/>
          <w:color w:val="808080" w:themeColor="background1" w:themeShade="80"/>
          <w:sz w:val="18"/>
          <w:szCs w:val="18"/>
        </w:rPr>
      </w:pPr>
    </w:p>
    <w:p w:rsidR="000A0EF9" w:rsidRPr="000A0EF9" w:rsidRDefault="000A0EF9" w:rsidP="000A0EF9">
      <w:pPr>
        <w:pStyle w:val="a5"/>
        <w:numPr>
          <w:ilvl w:val="1"/>
          <w:numId w:val="6"/>
        </w:numPr>
        <w:tabs>
          <w:tab w:val="left" w:pos="520"/>
        </w:tabs>
        <w:ind w:right="632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Компания назначает сотрудника по обеспечению соблюдения законодательства </w:t>
      </w:r>
      <w:r w:rsidRPr="000A0EF9">
        <w:rPr>
          <w:rFonts w:ascii="Arial" w:hAnsi="Arial" w:cs="Arial"/>
          <w:color w:val="808080" w:themeColor="background1" w:themeShade="80"/>
          <w:spacing w:val="-7"/>
          <w:sz w:val="18"/>
          <w:szCs w:val="21"/>
          <w:lang w:val="ru-MD"/>
        </w:rPr>
        <w:t xml:space="preserve">об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отмывании денег, который несет</w:t>
      </w:r>
      <w:r w:rsidRPr="000A0EF9">
        <w:rPr>
          <w:rFonts w:ascii="Arial" w:hAnsi="Arial" w:cs="Arial"/>
          <w:color w:val="808080" w:themeColor="background1" w:themeShade="80"/>
          <w:spacing w:val="-8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полную</w:t>
      </w:r>
    </w:p>
    <w:p w:rsidR="000A0EF9" w:rsidRPr="000A0EF9" w:rsidRDefault="000A0EF9" w:rsidP="000A0EF9">
      <w:pPr>
        <w:pStyle w:val="a3"/>
        <w:spacing w:before="2"/>
        <w:ind w:left="170" w:right="150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ответственность за соблюдение Компанией политик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CFT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 и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AML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, за разработку и исполнение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AML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 программы Компании, обучение сотрудников в</w:t>
      </w:r>
    </w:p>
    <w:p w:rsidR="000A0EF9" w:rsidRPr="000A0EF9" w:rsidRDefault="000A0EF9" w:rsidP="000A0EF9">
      <w:pPr>
        <w:pStyle w:val="a3"/>
        <w:ind w:left="170" w:right="10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сфере предотвращения отмывания денег, получение, изучение и хранение внутренних отчетов о подозрительной деятельности.</w:t>
      </w:r>
    </w:p>
    <w:p w:rsidR="000A0EF9" w:rsidRPr="000A0EF9" w:rsidRDefault="000A0EF9" w:rsidP="000A0EF9">
      <w:pPr>
        <w:pStyle w:val="a3"/>
        <w:spacing w:before="10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6"/>
        </w:numPr>
        <w:tabs>
          <w:tab w:val="left" w:pos="520"/>
        </w:tabs>
        <w:spacing w:before="1"/>
        <w:ind w:right="683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Все сотрудники и менеджеры Компании проходят</w:t>
      </w:r>
      <w:r w:rsidRPr="000A0EF9">
        <w:rPr>
          <w:rFonts w:ascii="Arial" w:hAnsi="Arial" w:cs="Arial"/>
          <w:color w:val="808080" w:themeColor="background1" w:themeShade="80"/>
          <w:spacing w:val="-16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тщательную</w:t>
      </w:r>
      <w:r w:rsidRPr="000A0EF9">
        <w:rPr>
          <w:rFonts w:ascii="Arial" w:hAnsi="Arial" w:cs="Arial"/>
          <w:color w:val="808080" w:themeColor="background1" w:themeShade="80"/>
          <w:spacing w:val="-12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проверку</w:t>
      </w:r>
      <w:r w:rsidRPr="000A0EF9">
        <w:rPr>
          <w:rFonts w:ascii="Arial" w:hAnsi="Arial" w:cs="Arial"/>
          <w:color w:val="808080" w:themeColor="background1" w:themeShade="80"/>
          <w:spacing w:val="-16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при</w:t>
      </w:r>
      <w:r w:rsidRPr="000A0EF9">
        <w:rPr>
          <w:rFonts w:ascii="Arial" w:hAnsi="Arial" w:cs="Arial"/>
          <w:color w:val="808080" w:themeColor="background1" w:themeShade="80"/>
          <w:spacing w:val="-15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приёме</w:t>
      </w:r>
      <w:r w:rsidRPr="000A0EF9">
        <w:rPr>
          <w:rFonts w:ascii="Arial" w:hAnsi="Arial" w:cs="Arial"/>
          <w:color w:val="808080" w:themeColor="background1" w:themeShade="80"/>
          <w:spacing w:val="-12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на работу в</w:t>
      </w:r>
      <w:r w:rsidRPr="000A0EF9">
        <w:rPr>
          <w:rFonts w:ascii="Arial" w:hAnsi="Arial" w:cs="Arial"/>
          <w:color w:val="808080" w:themeColor="background1" w:themeShade="80"/>
          <w:spacing w:val="-8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Компанию.</w:t>
      </w:r>
    </w:p>
    <w:p w:rsidR="000A0EF9" w:rsidRPr="000A0EF9" w:rsidRDefault="000A0EF9" w:rsidP="000A0EF9">
      <w:pPr>
        <w:pStyle w:val="a3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6"/>
        </w:numPr>
        <w:tabs>
          <w:tab w:val="left" w:pos="520"/>
        </w:tabs>
        <w:ind w:right="826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Сотрудники, работающие с клиентами и занимающиеся проверкой,выявлением</w:t>
      </w:r>
      <w:r w:rsidRPr="000A0EF9">
        <w:rPr>
          <w:rFonts w:ascii="Arial" w:hAnsi="Arial" w:cs="Arial"/>
          <w:color w:val="808080" w:themeColor="background1" w:themeShade="80"/>
          <w:spacing w:val="-1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и</w:t>
      </w:r>
    </w:p>
    <w:p w:rsidR="000A0EF9" w:rsidRPr="000A0EF9" w:rsidRDefault="000A0EF9" w:rsidP="000A0EF9">
      <w:pPr>
        <w:pStyle w:val="a3"/>
        <w:spacing w:before="2"/>
        <w:ind w:left="170" w:right="546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отслеживанием преступлений, связанных с легализацией средств, полученных незаконным</w:t>
      </w:r>
    </w:p>
    <w:p w:rsidR="000A0EF9" w:rsidRPr="000A0EF9" w:rsidRDefault="000A0EF9" w:rsidP="000A0EF9">
      <w:pPr>
        <w:pStyle w:val="a3"/>
        <w:ind w:left="170" w:right="238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 xml:space="preserve">путем, проходят обучение по борьбе с отмыванием денег. Всем новым сотрудникам также предоставляется план обучения в сфере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</w:rPr>
        <w:t>AML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.</w:t>
      </w:r>
    </w:p>
    <w:p w:rsidR="000A0EF9" w:rsidRPr="000A0EF9" w:rsidRDefault="000A0EF9" w:rsidP="000A0EF9">
      <w:pPr>
        <w:pStyle w:val="a3"/>
        <w:spacing w:line="229" w:lineRule="exact"/>
        <w:ind w:left="170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Обучение по борьбе с отмыванием денежных</w:t>
      </w:r>
    </w:p>
    <w:p w:rsidR="000A0EF9" w:rsidRPr="000A0EF9" w:rsidRDefault="000A0EF9" w:rsidP="000A0EF9">
      <w:pPr>
        <w:pStyle w:val="a3"/>
        <w:spacing w:before="2"/>
        <w:ind w:left="170" w:right="134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средств включает профессиональную подготовку по выявлению подозрительной активности, предотвращению и обнаружению преступлений,</w:t>
      </w:r>
    </w:p>
    <w:p w:rsidR="000A0EF9" w:rsidRPr="000A0EF9" w:rsidRDefault="000A0EF9" w:rsidP="000A0EF9">
      <w:pPr>
        <w:pStyle w:val="a3"/>
        <w:spacing w:before="1"/>
        <w:ind w:left="170" w:right="206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связанных с отмыванием денег и финансированием терроризма, и предоставлению соответствующей отчетности.</w:t>
      </w:r>
    </w:p>
    <w:p w:rsidR="000A0EF9" w:rsidRPr="000A0EF9" w:rsidRDefault="000A0EF9" w:rsidP="000A0EF9">
      <w:pPr>
        <w:pStyle w:val="a3"/>
        <w:spacing w:before="4"/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6"/>
        </w:numPr>
        <w:tabs>
          <w:tab w:val="left" w:pos="520"/>
        </w:tabs>
        <w:ind w:right="188" w:firstLine="0"/>
        <w:rPr>
          <w:rFonts w:ascii="Arial" w:hAnsi="Arial" w:cs="Arial"/>
          <w:color w:val="808080" w:themeColor="background1" w:themeShade="80"/>
          <w:sz w:val="18"/>
          <w:szCs w:val="21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Сотруднику по обеспечению соблюдения законодательства об отмывании денег должна предоставляться отчетность обо всех нарушениях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AML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политики Компании, если такие имеются. В том случае, когда данная политика была нарушена самим сотрудником по обеспечению соблюдения законодательства об отмывании денег, отчетность о таком нарушении должна предоставляться руководителю</w:t>
      </w:r>
      <w:r w:rsidRPr="000A0EF9">
        <w:rPr>
          <w:rFonts w:ascii="Arial" w:hAnsi="Arial" w:cs="Arial"/>
          <w:color w:val="808080" w:themeColor="background1" w:themeShade="80"/>
          <w:spacing w:val="-2"/>
          <w:sz w:val="18"/>
          <w:szCs w:val="21"/>
          <w:lang w:val="ru-MD"/>
        </w:rPr>
        <w:t xml:space="preserve"> </w:t>
      </w:r>
      <w:proofErr w:type="spellStart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Компании</w:t>
      </w:r>
      <w:proofErr w:type="spellEnd"/>
      <w:r w:rsidRPr="000A0EF9">
        <w:rPr>
          <w:rFonts w:ascii="Arial" w:hAnsi="Arial" w:cs="Arial"/>
          <w:color w:val="808080" w:themeColor="background1" w:themeShade="80"/>
          <w:sz w:val="18"/>
          <w:szCs w:val="21"/>
        </w:rPr>
        <w:t>.</w:t>
      </w:r>
    </w:p>
    <w:p w:rsidR="000A0EF9" w:rsidRDefault="000A0EF9" w:rsidP="000A0EF9">
      <w:pPr>
        <w:pStyle w:val="a3"/>
        <w:spacing w:before="3"/>
        <w:rPr>
          <w:sz w:val="21"/>
        </w:rPr>
      </w:pPr>
    </w:p>
    <w:p w:rsidR="000A0EF9" w:rsidRPr="006C31C7" w:rsidRDefault="000A0EF9" w:rsidP="000A0EF9">
      <w:pPr>
        <w:pStyle w:val="1"/>
        <w:numPr>
          <w:ilvl w:val="0"/>
          <w:numId w:val="6"/>
        </w:numPr>
        <w:tabs>
          <w:tab w:val="left" w:pos="373"/>
        </w:tabs>
        <w:ind w:left="170" w:right="718" w:firstLine="0"/>
        <w:rPr>
          <w:rFonts w:ascii="Georgia" w:hAnsi="Georgia"/>
          <w:lang w:val="ru-MD"/>
        </w:rPr>
      </w:pPr>
      <w:r w:rsidRPr="006C31C7">
        <w:rPr>
          <w:rFonts w:ascii="Georgia" w:hAnsi="Georgia"/>
          <w:lang w:val="ru-MD"/>
        </w:rPr>
        <w:t xml:space="preserve">ВНЕСЕНИЕ ИЗМЕНЕНИЙ В </w:t>
      </w:r>
      <w:r w:rsidRPr="006C31C7">
        <w:rPr>
          <w:rFonts w:ascii="Georgia" w:hAnsi="Georgia"/>
          <w:spacing w:val="-4"/>
          <w:lang w:val="ru-MD"/>
        </w:rPr>
        <w:t xml:space="preserve">ДАННУЮ </w:t>
      </w:r>
      <w:r w:rsidRPr="006C31C7">
        <w:rPr>
          <w:rFonts w:ascii="Georgia" w:hAnsi="Georgia"/>
          <w:lang w:val="ru-MD"/>
        </w:rPr>
        <w:t>ПОЛИТИКУ</w:t>
      </w:r>
      <w:r w:rsidRPr="006C31C7">
        <w:rPr>
          <w:rFonts w:ascii="Georgia" w:hAnsi="Georgia"/>
          <w:spacing w:val="-4"/>
          <w:lang w:val="ru-MD"/>
        </w:rPr>
        <w:t xml:space="preserve"> </w:t>
      </w:r>
    </w:p>
    <w:p w:rsidR="000A0EF9" w:rsidRPr="00C821FD" w:rsidRDefault="000A0EF9" w:rsidP="000A0EF9">
      <w:pPr>
        <w:pStyle w:val="a3"/>
        <w:spacing w:before="5"/>
        <w:rPr>
          <w:b/>
          <w:sz w:val="19"/>
          <w:lang w:val="ru-MD"/>
        </w:rPr>
      </w:pPr>
    </w:p>
    <w:p w:rsidR="000A0EF9" w:rsidRPr="000A0EF9" w:rsidRDefault="000A0EF9" w:rsidP="000A0EF9">
      <w:pPr>
        <w:pStyle w:val="a5"/>
        <w:numPr>
          <w:ilvl w:val="1"/>
          <w:numId w:val="6"/>
        </w:numPr>
        <w:tabs>
          <w:tab w:val="left" w:pos="520"/>
        </w:tabs>
        <w:ind w:right="449" w:firstLine="0"/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</w:pP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Компания оставляет за собой право в любое время</w:t>
      </w:r>
      <w:r w:rsidRPr="000A0EF9">
        <w:rPr>
          <w:rFonts w:ascii="Arial" w:hAnsi="Arial" w:cs="Arial"/>
          <w:color w:val="808080" w:themeColor="background1" w:themeShade="80"/>
          <w:spacing w:val="-16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изменить</w:t>
      </w:r>
      <w:r w:rsidRPr="000A0EF9">
        <w:rPr>
          <w:rFonts w:ascii="Arial" w:hAnsi="Arial" w:cs="Arial"/>
          <w:color w:val="808080" w:themeColor="background1" w:themeShade="80"/>
          <w:spacing w:val="-12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данную</w:t>
      </w:r>
      <w:r w:rsidRPr="000A0EF9">
        <w:rPr>
          <w:rFonts w:ascii="Arial" w:hAnsi="Arial" w:cs="Arial"/>
          <w:color w:val="808080" w:themeColor="background1" w:themeShade="80"/>
          <w:spacing w:val="-16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Политику,</w:t>
      </w:r>
      <w:r w:rsidRPr="000A0EF9">
        <w:rPr>
          <w:rFonts w:ascii="Arial" w:hAnsi="Arial" w:cs="Arial"/>
          <w:color w:val="808080" w:themeColor="background1" w:themeShade="80"/>
          <w:spacing w:val="-14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поэтому просит регулярно её перечитывать.</w:t>
      </w:r>
      <w:r w:rsidRPr="000A0EF9">
        <w:rPr>
          <w:rFonts w:ascii="Arial" w:hAnsi="Arial" w:cs="Arial"/>
          <w:color w:val="808080" w:themeColor="background1" w:themeShade="80"/>
          <w:spacing w:val="-2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Если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>Клиент</w:t>
      </w:r>
      <w:r w:rsidRPr="000A0EF9">
        <w:rPr>
          <w:rFonts w:ascii="Arial" w:hAnsi="Arial" w:cs="Arial"/>
          <w:color w:val="808080" w:themeColor="background1" w:themeShade="80"/>
          <w:sz w:val="18"/>
          <w:szCs w:val="21"/>
          <w:lang w:val="ru-MD"/>
        </w:rPr>
        <w:t xml:space="preserve"> </w:t>
      </w:r>
      <w:r w:rsidRPr="000A0EF9">
        <w:rPr>
          <w:rFonts w:ascii="Arial" w:hAnsi="Arial" w:cs="Arial"/>
          <w:color w:val="808080" w:themeColor="background1" w:themeShade="80"/>
          <w:sz w:val="18"/>
          <w:szCs w:val="18"/>
          <w:lang w:val="ru-MD"/>
        </w:rPr>
        <w:t>продолжает пользоваться услугами сайта или посещать его, он автоматически соглашается с изменениями данной Политики.</w:t>
      </w:r>
    </w:p>
    <w:p w:rsidR="00D35400" w:rsidRDefault="006C31C7"/>
    <w:sectPr w:rsidR="00D35400" w:rsidSect="00407F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7606"/>
    <w:multiLevelType w:val="multilevel"/>
    <w:tmpl w:val="A93CD5AC"/>
    <w:lvl w:ilvl="0">
      <w:start w:val="2"/>
      <w:numFmt w:val="decimal"/>
      <w:lvlText w:val="%1."/>
      <w:lvlJc w:val="left"/>
      <w:pPr>
        <w:ind w:left="339" w:hanging="204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0"/>
        <w:szCs w:val="20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486" w:hanging="349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480" w:hanging="34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0" w:hanging="34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1" w:hanging="34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81" w:hanging="34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2" w:hanging="34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-17" w:hanging="34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117" w:hanging="349"/>
      </w:pPr>
      <w:rPr>
        <w:rFonts w:hint="default"/>
        <w:lang w:val="en-US" w:eastAsia="en-US" w:bidi="en-US"/>
      </w:rPr>
    </w:lvl>
  </w:abstractNum>
  <w:abstractNum w:abstractNumId="1" w15:restartNumberingAfterBreak="0">
    <w:nsid w:val="26FF32CF"/>
    <w:multiLevelType w:val="multilevel"/>
    <w:tmpl w:val="B7EA0080"/>
    <w:lvl w:ilvl="0">
      <w:start w:val="1"/>
      <w:numFmt w:val="decimal"/>
      <w:lvlText w:val="%1."/>
      <w:lvlJc w:val="left"/>
      <w:pPr>
        <w:ind w:left="114" w:hanging="20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0"/>
        <w:szCs w:val="20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4" w:hanging="345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88" w:hanging="34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" w:hanging="34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-14" w:hanging="34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-65" w:hanging="34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-116" w:hanging="34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-167" w:hanging="34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218" w:hanging="345"/>
      </w:pPr>
      <w:rPr>
        <w:rFonts w:hint="default"/>
        <w:lang w:val="en-US" w:eastAsia="en-US" w:bidi="en-US"/>
      </w:rPr>
    </w:lvl>
  </w:abstractNum>
  <w:abstractNum w:abstractNumId="2" w15:restartNumberingAfterBreak="0">
    <w:nsid w:val="31CA4220"/>
    <w:multiLevelType w:val="multilevel"/>
    <w:tmpl w:val="0114999A"/>
    <w:lvl w:ilvl="0">
      <w:start w:val="2"/>
      <w:numFmt w:val="decimal"/>
      <w:lvlText w:val="%1"/>
      <w:lvlJc w:val="left"/>
      <w:pPr>
        <w:ind w:left="170" w:hanging="351"/>
        <w:jc w:val="left"/>
      </w:pPr>
      <w:rPr>
        <w:rFonts w:hint="default"/>
        <w:lang w:val="en-US" w:eastAsia="en-US" w:bidi="en-US"/>
      </w:rPr>
    </w:lvl>
    <w:lvl w:ilvl="1">
      <w:start w:val="6"/>
      <w:numFmt w:val="decimal"/>
      <w:lvlText w:val="%1.%2."/>
      <w:lvlJc w:val="left"/>
      <w:pPr>
        <w:ind w:left="170" w:hanging="351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106" w:hanging="35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69" w:hanging="3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032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495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958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421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84" w:hanging="351"/>
      </w:pPr>
      <w:rPr>
        <w:rFonts w:hint="default"/>
        <w:lang w:val="en-US" w:eastAsia="en-US" w:bidi="en-US"/>
      </w:rPr>
    </w:lvl>
  </w:abstractNum>
  <w:abstractNum w:abstractNumId="3" w15:restartNumberingAfterBreak="0">
    <w:nsid w:val="33FA2F3D"/>
    <w:multiLevelType w:val="multilevel"/>
    <w:tmpl w:val="18DC35DA"/>
    <w:lvl w:ilvl="0">
      <w:start w:val="1"/>
      <w:numFmt w:val="decimal"/>
      <w:lvlText w:val="%1"/>
      <w:lvlJc w:val="left"/>
      <w:pPr>
        <w:ind w:left="138" w:hanging="355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."/>
      <w:lvlJc w:val="left"/>
      <w:pPr>
        <w:ind w:left="138" w:hanging="355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069" w:hanging="35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34" w:hanging="35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99" w:hanging="35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464" w:hanging="35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929" w:hanging="35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393" w:hanging="35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58" w:hanging="355"/>
      </w:pPr>
      <w:rPr>
        <w:rFonts w:hint="default"/>
        <w:lang w:val="en-US" w:eastAsia="en-US" w:bidi="en-US"/>
      </w:rPr>
    </w:lvl>
  </w:abstractNum>
  <w:abstractNum w:abstractNumId="4" w15:restartNumberingAfterBreak="0">
    <w:nsid w:val="39DD093B"/>
    <w:multiLevelType w:val="multilevel"/>
    <w:tmpl w:val="7854B7A6"/>
    <w:lvl w:ilvl="0">
      <w:start w:val="1"/>
      <w:numFmt w:val="decimal"/>
      <w:lvlText w:val="%1"/>
      <w:lvlJc w:val="left"/>
      <w:pPr>
        <w:ind w:left="114" w:hanging="345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."/>
      <w:lvlJc w:val="left"/>
      <w:pPr>
        <w:ind w:left="114" w:hanging="345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058" w:hanging="34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27" w:hanging="34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96" w:hanging="34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465" w:hanging="34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934" w:hanging="34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403" w:hanging="34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72" w:hanging="345"/>
      </w:pPr>
      <w:rPr>
        <w:rFonts w:hint="default"/>
        <w:lang w:val="en-US" w:eastAsia="en-US" w:bidi="en-US"/>
      </w:rPr>
    </w:lvl>
  </w:abstractNum>
  <w:abstractNum w:abstractNumId="5" w15:restartNumberingAfterBreak="0">
    <w:nsid w:val="6452674B"/>
    <w:multiLevelType w:val="multilevel"/>
    <w:tmpl w:val="D16CD268"/>
    <w:lvl w:ilvl="0">
      <w:start w:val="3"/>
      <w:numFmt w:val="decimal"/>
      <w:lvlText w:val="%1."/>
      <w:lvlJc w:val="left"/>
      <w:pPr>
        <w:ind w:left="369" w:hanging="202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0"/>
        <w:szCs w:val="20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70" w:hanging="349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854" w:hanging="34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349" w:hanging="34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43" w:hanging="34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338" w:hanging="34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832" w:hanging="34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327" w:hanging="34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22" w:hanging="349"/>
      </w:pPr>
      <w:rPr>
        <w:rFonts w:hint="default"/>
        <w:lang w:val="en-US" w:eastAsia="en-US" w:bidi="en-US"/>
      </w:rPr>
    </w:lvl>
  </w:abstractNum>
  <w:abstractNum w:abstractNumId="6" w15:restartNumberingAfterBreak="0">
    <w:nsid w:val="64FD0B97"/>
    <w:multiLevelType w:val="multilevel"/>
    <w:tmpl w:val="834A336C"/>
    <w:lvl w:ilvl="0">
      <w:start w:val="1"/>
      <w:numFmt w:val="decimal"/>
      <w:lvlText w:val="%1"/>
      <w:lvlJc w:val="left"/>
      <w:pPr>
        <w:ind w:left="412" w:hanging="298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412" w:hanging="298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14" w:hanging="490"/>
        <w:jc w:val="left"/>
      </w:pPr>
      <w:rPr>
        <w:rFonts w:ascii="Times New Roman" w:eastAsia="Times New Roman" w:hAnsi="Times New Roman" w:cs="Times New Roman" w:hint="default"/>
        <w:w w:val="95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1395" w:hanging="49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83" w:hanging="49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371" w:hanging="49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859" w:hanging="49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347" w:hanging="49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35" w:hanging="49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F9"/>
    <w:rsid w:val="000A0EF9"/>
    <w:rsid w:val="00407F37"/>
    <w:rsid w:val="006C31C7"/>
    <w:rsid w:val="00C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3BF40"/>
  <w15:chartTrackingRefBased/>
  <w15:docId w15:val="{D87150C8-E920-0B4B-AB2E-8F8E248C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EF9"/>
    <w:pPr>
      <w:widowControl w:val="0"/>
      <w:autoSpaceDE w:val="0"/>
      <w:autoSpaceDN w:val="0"/>
      <w:ind w:left="114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E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EF9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a3">
    <w:name w:val="Body Text"/>
    <w:basedOn w:val="a"/>
    <w:link w:val="a4"/>
    <w:uiPriority w:val="1"/>
    <w:qFormat/>
    <w:rsid w:val="000A0EF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0A0EF9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a5">
    <w:name w:val="List Paragraph"/>
    <w:basedOn w:val="a"/>
    <w:uiPriority w:val="1"/>
    <w:qFormat/>
    <w:rsid w:val="000A0EF9"/>
    <w:pPr>
      <w:widowControl w:val="0"/>
      <w:autoSpaceDE w:val="0"/>
      <w:autoSpaceDN w:val="0"/>
      <w:ind w:left="17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0A0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0A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2019-11-19T11:36:00Z</dcterms:created>
  <dcterms:modified xsi:type="dcterms:W3CDTF">2019-11-19T11:50:00Z</dcterms:modified>
</cp:coreProperties>
</file>