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INSPIRE BIOLOGY TEACHER ADAPTATION &amp; EXCELLENCE PROGRAMME</w:t>
      </w:r>
    </w:p>
    <w:p>
      <w:pPr>
        <w:jc w:val="center"/>
      </w:pPr>
      <w:r>
        <w:rPr>
          <w:b/>
          <w:sz w:val="26"/>
        </w:rPr>
        <w:t>GCSE Biology Tutor Conversion Pathway | Master Programme Guide</w:t>
      </w:r>
    </w:p>
    <w:p>
      <w:pPr>
        <w:jc w:val="center"/>
      </w:pPr>
      <w:r>
        <w:t>IBTAEP • Pilot Cohort 001 • Candidate 001</w:t>
      </w:r>
    </w:p>
    <w:p>
      <w:r>
        <w:rPr>
          <w:b/>
        </w:rPr>
        <w:t xml:space="preserve">Purpose. </w:t>
      </w:r>
      <w:r>
        <w:t>This guide brings Packs 01–04 into one coherent GCSE conversion pathway for an already-qualified secondary Biology teacher adapting to UK GCSE tutoring. The programme is competency-based: prior expertise is respected, but UK specification control, examination literacy, practical/mathematical Biology, diagnostic tutoring and professional practice must all be demonstrated before clearance.</w:t>
      </w:r>
    </w:p>
    <w:p>
      <w:pPr>
        <w:pStyle w:val="Heading1"/>
      </w:pPr>
      <w:r>
        <w:t>1. Programme outcome</w:t>
      </w:r>
    </w:p>
    <w:p>
      <w:pPr>
        <w:pStyle w:val="ListBullet"/>
      </w:pPr>
      <w:r>
        <w:t>Teach AQA GCSE Biology accurately across Foundation and Higher tiers.</w:t>
      </w:r>
    </w:p>
    <w:p>
      <w:pPr>
        <w:pStyle w:val="ListBullet"/>
      </w:pPr>
      <w:r>
        <w:t>Distinguish Combined Science and Separate Biology scope confidently.</w:t>
      </w:r>
    </w:p>
    <w:p>
      <w:pPr>
        <w:pStyle w:val="ListBullet"/>
      </w:pPr>
      <w:r>
        <w:t>Use UK command words, assessment objectives and mark-scheme logic fluently.</w:t>
      </w:r>
    </w:p>
    <w:p>
      <w:pPr>
        <w:pStyle w:val="ListBullet"/>
      </w:pPr>
      <w:r>
        <w:t>Teach required practicals, experimental design, data interpretation and mathematical Biology effectively.</w:t>
      </w:r>
    </w:p>
    <w:p>
      <w:pPr>
        <w:pStyle w:val="ListBullet"/>
      </w:pPr>
      <w:r>
        <w:t>Diagnose why students lose marks and prescribe targeted intervention.</w:t>
      </w:r>
    </w:p>
    <w:p>
      <w:pPr>
        <w:pStyle w:val="ListBullet"/>
      </w:pPr>
      <w:r>
        <w:t>Deliver engaging, adaptive Inspire tutoring online.</w:t>
      </w:r>
    </w:p>
    <w:p>
      <w:pPr>
        <w:pStyle w:val="ListBullet"/>
      </w:pPr>
      <w:r>
        <w:t>Meet Inspire safeguarding, professional-boundary and quality-assurance expectations.</w:t>
      </w:r>
    </w:p>
    <w:p>
      <w:pPr>
        <w:pStyle w:val="Heading1"/>
      </w:pPr>
      <w:r>
        <w:t>2. Four-pack pathway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Pack</w:t>
            </w:r>
          </w:p>
        </w:tc>
        <w:tc>
          <w:tcPr>
            <w:tcW w:type="dxa" w:w="2016"/>
          </w:tcPr>
          <w:p>
            <w:r>
              <w:t>Primary focus</w:t>
            </w:r>
          </w:p>
        </w:tc>
        <w:tc>
          <w:tcPr>
            <w:tcW w:type="dxa" w:w="2016"/>
          </w:tcPr>
          <w:p>
            <w:r>
              <w:t>Key evidence</w:t>
            </w:r>
          </w:p>
        </w:tc>
        <w:tc>
          <w:tcPr>
            <w:tcW w:type="dxa" w:w="2016"/>
          </w:tcPr>
          <w:p>
            <w:r>
              <w:t>Indicative week</w:t>
            </w:r>
          </w:p>
        </w:tc>
        <w:tc>
          <w:tcPr>
            <w:tcW w:type="dxa" w:w="2016"/>
          </w:tcPr>
          <w:p>
            <w:r>
              <w:t>Gate</w:t>
            </w:r>
          </w:p>
        </w:tc>
      </w:tr>
      <w:tr>
        <w:tc>
          <w:tcPr>
            <w:tcW w:type="dxa" w:w="2016"/>
            <w:vAlign w:val="center"/>
          </w:tcPr>
          <w:p>
            <w:r>
              <w:t>01</w:t>
            </w:r>
          </w:p>
        </w:tc>
        <w:tc>
          <w:tcPr>
            <w:tcW w:type="dxa" w:w="2016"/>
            <w:vAlign w:val="center"/>
          </w:tcPr>
          <w:p>
            <w:r>
              <w:t>Entry Diagnostic &amp; UK System Orientation</w:t>
            </w:r>
          </w:p>
        </w:tc>
        <w:tc>
          <w:tcPr>
            <w:tcW w:type="dxa" w:w="2016"/>
            <w:vAlign w:val="center"/>
          </w:tcPr>
          <w:p>
            <w:r>
              <w:t>GCSE/A-Level baseline, specification literacy, marking calibration, teaching audition</w:t>
            </w:r>
          </w:p>
        </w:tc>
        <w:tc>
          <w:tcPr>
            <w:tcW w:type="dxa" w:w="2016"/>
            <w:vAlign w:val="center"/>
          </w:tcPr>
          <w:p>
            <w:r>
              <w:t>Week 0–1</w:t>
            </w:r>
          </w:p>
        </w:tc>
        <w:tc>
          <w:tcPr>
            <w:tcW w:type="dxa" w:w="2016"/>
            <w:vAlign w:val="center"/>
          </w:tcPr>
          <w:p>
            <w:r>
              <w:t>Week 1 progression</w:t>
            </w:r>
          </w:p>
        </w:tc>
      </w:tr>
      <w:tr>
        <w:tc>
          <w:tcPr>
            <w:tcW w:type="dxa" w:w="2016"/>
            <w:vAlign w:val="center"/>
          </w:tcPr>
          <w:p>
            <w:r>
              <w:t>02</w:t>
            </w:r>
          </w:p>
        </w:tc>
        <w:tc>
          <w:tcPr>
            <w:tcW w:type="dxa" w:w="2016"/>
            <w:vAlign w:val="center"/>
          </w:tcPr>
          <w:p>
            <w:r>
              <w:t>GCSE Specification Mastery &amp; Content Conversion</w:t>
            </w:r>
          </w:p>
        </w:tc>
        <w:tc>
          <w:tcPr>
            <w:tcW w:type="dxa" w:w="2016"/>
            <w:vAlign w:val="center"/>
          </w:tcPr>
          <w:p>
            <w:r>
              <w:t>Seven-domain maps, route/tier boundaries, misconception repair, adaptive microteaching</w:t>
            </w:r>
          </w:p>
        </w:tc>
        <w:tc>
          <w:tcPr>
            <w:tcW w:type="dxa" w:w="2016"/>
            <w:vAlign w:val="center"/>
          </w:tcPr>
          <w:p>
            <w:r>
              <w:t>Week 2</w:t>
            </w:r>
          </w:p>
        </w:tc>
        <w:tc>
          <w:tcPr>
            <w:tcW w:type="dxa" w:w="2016"/>
            <w:vAlign w:val="center"/>
          </w:tcPr>
          <w:p>
            <w:r>
              <w:t>Specification mastery</w:t>
            </w:r>
          </w:p>
        </w:tc>
      </w:tr>
      <w:tr>
        <w:tc>
          <w:tcPr>
            <w:tcW w:type="dxa" w:w="2016"/>
            <w:vAlign w:val="center"/>
          </w:tcPr>
          <w:p>
            <w:r>
              <w:t>03</w:t>
            </w:r>
          </w:p>
        </w:tc>
        <w:tc>
          <w:tcPr>
            <w:tcW w:type="dxa" w:w="2016"/>
            <w:vAlign w:val="center"/>
          </w:tcPr>
          <w:p>
            <w:r>
              <w:t>GCSE Examiner School</w:t>
            </w:r>
          </w:p>
        </w:tc>
        <w:tc>
          <w:tcPr>
            <w:tcW w:type="dxa" w:w="2016"/>
            <w:vAlign w:val="center"/>
          </w:tcPr>
          <w:p>
            <w:r>
              <w:t>Command words, AO1/AO2/AO3, marking, application, data, extended responses, error diagnosis</w:t>
            </w:r>
          </w:p>
        </w:tc>
        <w:tc>
          <w:tcPr>
            <w:tcW w:type="dxa" w:w="2016"/>
            <w:vAlign w:val="center"/>
          </w:tcPr>
          <w:p>
            <w:r>
              <w:t>Week 3</w:t>
            </w:r>
          </w:p>
        </w:tc>
        <w:tc>
          <w:tcPr>
            <w:tcW w:type="dxa" w:w="2016"/>
            <w:vAlign w:val="center"/>
          </w:tcPr>
          <w:p>
            <w:r>
              <w:t>Examiner-school progression</w:t>
            </w:r>
          </w:p>
        </w:tc>
      </w:tr>
      <w:tr>
        <w:tc>
          <w:tcPr>
            <w:tcW w:type="dxa" w:w="2016"/>
            <w:vAlign w:val="center"/>
          </w:tcPr>
          <w:p>
            <w:r>
              <w:t>04</w:t>
            </w:r>
          </w:p>
        </w:tc>
        <w:tc>
          <w:tcPr>
            <w:tcW w:type="dxa" w:w="2016"/>
            <w:vAlign w:val="center"/>
          </w:tcPr>
          <w:p>
            <w:r>
              <w:t>Practical + Mathematical Biology &amp; GCSE Clearance</w:t>
            </w:r>
          </w:p>
        </w:tc>
        <w:tc>
          <w:tcPr>
            <w:tcW w:type="dxa" w:w="2016"/>
            <w:vAlign w:val="center"/>
          </w:tcPr>
          <w:p>
            <w:r>
              <w:t>Required practicals, experimental design, maths, graphs, uncertainty, final clearance assessments</w:t>
            </w:r>
          </w:p>
        </w:tc>
        <w:tc>
          <w:tcPr>
            <w:tcW w:type="dxa" w:w="2016"/>
            <w:vAlign w:val="center"/>
          </w:tcPr>
          <w:p>
            <w:r>
              <w:t>Week 4</w:t>
            </w:r>
          </w:p>
        </w:tc>
        <w:tc>
          <w:tcPr>
            <w:tcW w:type="dxa" w:w="2016"/>
            <w:vAlign w:val="center"/>
          </w:tcPr>
          <w:p>
            <w:r>
              <w:t>GCSE clearance board</w:t>
            </w:r>
          </w:p>
        </w:tc>
      </w:tr>
    </w:tbl>
    <w:p>
      <w:pPr>
        <w:pStyle w:val="Heading1"/>
      </w:pPr>
      <w:r>
        <w:t>3. Recommended weekly rhythm</w:t>
      </w:r>
    </w:p>
    <w:p>
      <w:pPr>
        <w:pStyle w:val="ListBullet"/>
      </w:pPr>
      <w:r>
        <w:t>Monday – 90 min professional learning / curriculum conversion</w:t>
      </w:r>
    </w:p>
    <w:p>
      <w:pPr>
        <w:pStyle w:val="ListBullet"/>
      </w:pPr>
      <w:r>
        <w:t>Tuesday – 90 min specification and content work</w:t>
      </w:r>
    </w:p>
    <w:p>
      <w:pPr>
        <w:pStyle w:val="ListBullet"/>
      </w:pPr>
      <w:r>
        <w:t>Wednesday – 90 min examination laboratory</w:t>
      </w:r>
    </w:p>
    <w:p>
      <w:pPr>
        <w:pStyle w:val="ListBullet"/>
      </w:pPr>
      <w:r>
        <w:t>Thursday – 90 min practical, data, maths or tutoring craft</w:t>
      </w:r>
    </w:p>
    <w:p>
      <w:pPr>
        <w:pStyle w:val="ListBullet"/>
      </w:pPr>
      <w:r>
        <w:t>Saturday – 2 hr assessment and microteaching</w:t>
      </w:r>
    </w:p>
    <w:p>
      <w:pPr>
        <w:pStyle w:val="ListBullet"/>
      </w:pPr>
      <w:r>
        <w:t>Independent work – approximately 3–4 hr per week</w:t>
      </w:r>
    </w:p>
    <w:p>
      <w:r>
        <w:rPr>
          <w:b/>
        </w:rPr>
        <w:t xml:space="preserve">Indicative total: </w:t>
      </w:r>
      <w:r>
        <w:t>about 10 hours per week, accelerated or extended according to diagnostic evidence.</w:t>
      </w:r>
    </w:p>
    <w:p>
      <w:pPr>
        <w:pStyle w:val="Heading1"/>
      </w:pPr>
      <w:r>
        <w:t>4. Clearance philosophy</w:t>
      </w:r>
    </w:p>
    <w:p>
      <w:r>
        <w:t>Completion is not the same as competence. A candidate progresses only when evidence shows that the required standard has been reached.</w:t>
      </w:r>
    </w:p>
    <w:p>
      <w:pPr>
        <w:pStyle w:val="ListBullet"/>
      </w:pPr>
      <w:r>
        <w:t>Scientific accuracy is non-compensatory.</w:t>
      </w:r>
    </w:p>
    <w:p>
      <w:pPr>
        <w:pStyle w:val="ListBullet"/>
      </w:pPr>
      <w:r>
        <w:t>Safeguarding and professional conduct are non-compensatory.</w:t>
      </w:r>
    </w:p>
    <w:p>
      <w:pPr>
        <w:pStyle w:val="ListBullet"/>
      </w:pPr>
      <w:r>
        <w:t>Specification control must be secure; confident over-teaching is still a specification error.</w:t>
      </w:r>
    </w:p>
    <w:p>
      <w:pPr>
        <w:pStyle w:val="ListBullet"/>
      </w:pPr>
      <w:r>
        <w:t>Marking/exam literacy must be calibrated, not assumed.</w:t>
      </w:r>
    </w:p>
    <w:p>
      <w:pPr>
        <w:pStyle w:val="ListBullet"/>
      </w:pPr>
      <w:r>
        <w:t>Practical and mathematical transfer must be demonstrated in unfamiliar contexts.</w:t>
      </w:r>
    </w:p>
    <w:p>
      <w:pPr>
        <w:pStyle w:val="ListBullet"/>
      </w:pPr>
      <w:r>
        <w:t>Teaching must be adaptive: Foundation, Higher and high-attaining learners should not receive the same lesson with different labels.</w:t>
      </w:r>
    </w:p>
    <w:p>
      <w:pPr>
        <w:pStyle w:val="Heading1"/>
      </w:pPr>
      <w:r>
        <w:t>5. GCSE clearance decision</w:t>
      </w:r>
    </w:p>
    <w:p>
      <w:r>
        <w:t>At the end of Pack 04, the assessor records one of four decisions:</w:t>
      </w:r>
    </w:p>
    <w:p>
      <w:pPr>
        <w:pStyle w:val="ListBullet"/>
      </w:pPr>
      <w:r>
        <w:t>CLEARED – SUPERVISED DEPLOYMENT: may begin selected GCSE Biology tutoring with routine QA.</w:t>
      </w:r>
    </w:p>
    <w:p>
      <w:pPr>
        <w:pStyle w:val="ListBullet"/>
      </w:pPr>
      <w:r>
        <w:t>CLEARED WITH CONDITIONS: may teach only within defined limits while specified competencies are remediated.</w:t>
      </w:r>
    </w:p>
    <w:p>
      <w:pPr>
        <w:pStyle w:val="ListBullet"/>
      </w:pPr>
      <w:r>
        <w:t>REASSESSMENT REQUIRED: targeted retraining followed by reassessment before student deployment.</w:t>
      </w:r>
    </w:p>
    <w:p>
      <w:pPr>
        <w:pStyle w:val="ListBullet"/>
      </w:pPr>
      <w:r>
        <w:t>NOT CLEARED: material scientific, professional, safeguarding or teaching concerns remain.</w:t>
      </w:r>
    </w:p>
    <w:p>
      <w:pPr>
        <w:pStyle w:val="Heading1"/>
      </w:pPr>
      <w:r>
        <w:t>6. Supported practice after clearance</w:t>
      </w:r>
    </w:p>
    <w:p>
      <w:pPr>
        <w:pStyle w:val="ListBullet"/>
      </w:pPr>
      <w:r>
        <w:t>First 4–6 weeks: one sampled lesson observation/review per week.</w:t>
      </w:r>
    </w:p>
    <w:p>
      <w:pPr>
        <w:pStyle w:val="ListBullet"/>
      </w:pPr>
      <w:r>
        <w:t>Review student work, lesson records, diagnostic decisions and parent/student communication as appropriate.</w:t>
      </w:r>
    </w:p>
    <w:p>
      <w:pPr>
        <w:pStyle w:val="ListBullet"/>
      </w:pPr>
      <w:r>
        <w:t>Weekly 30-minute Biology Faculty Clinic: one difficult concept, one difficult learner, one exam question, one professional learning point.</w:t>
      </w:r>
    </w:p>
    <w:p>
      <w:pPr>
        <w:pStyle w:val="ListBullet"/>
      </w:pPr>
      <w:r>
        <w:t>Monitor student progress using topic scores, exam-question performance and error categories rather than confidence alone.</w:t>
      </w:r>
    </w:p>
    <w:p>
      <w:pPr>
        <w:pStyle w:val="ListBullet"/>
      </w:pPr>
      <w:r>
        <w:t>Move to full independent Inspire status only after sustained evidence of quality.</w:t>
      </w:r>
    </w:p>
    <w:p>
      <w:pPr>
        <w:pStyle w:val="Heading1"/>
      </w:pPr>
      <w:r>
        <w:t>7. Folder contents</w:t>
      </w:r>
    </w:p>
    <w:p>
      <w:pPr>
        <w:pStyle w:val="ListBullet"/>
      </w:pPr>
      <w:r>
        <w:t>00_IBTAEP_GCSE_Master_Programme_Guide.docx</w:t>
      </w:r>
    </w:p>
    <w:p>
      <w:pPr>
        <w:pStyle w:val="ListBullet"/>
      </w:pPr>
      <w:r>
        <w:t>01_IBTAEP_Pack_01_Entry_Diagnostic_and_Week_1.docx</w:t>
      </w:r>
    </w:p>
    <w:p>
      <w:pPr>
        <w:pStyle w:val="ListBullet"/>
      </w:pPr>
      <w:r>
        <w:t>02_IBTAEP_Pack_02_GCSE_Biology_Specification_Mastery_and_Content_Conversion.docx</w:t>
      </w:r>
    </w:p>
    <w:p>
      <w:pPr>
        <w:pStyle w:val="ListBullet"/>
      </w:pPr>
      <w:r>
        <w:t>03_IBTAEP_Pack_03_GCSE_Examiner_School.docx</w:t>
      </w:r>
    </w:p>
    <w:p>
      <w:pPr>
        <w:pStyle w:val="ListBullet"/>
      </w:pPr>
      <w:r>
        <w:t>04_IBTAEP_Pack_04_Practical_Mathematical_Biology_and_GCSE_Clearance.docx</w:t>
      </w:r>
    </w:p>
    <w:p>
      <w:pPr>
        <w:pStyle w:val="ListBullet"/>
      </w:pPr>
      <w:r>
        <w:t>README_FIRST.txt</w:t>
      </w:r>
    </w:p>
    <w:p>
      <w:r>
        <w:rPr>
          <w:b/>
        </w:rPr>
        <w:t xml:space="preserve">Programme status: </w:t>
      </w:r>
      <w:r>
        <w:t>GCSE pathway assembled. A-Level extension intentionally deferred. The four packs should be treated as a living academy system: candidate performance data should be used to improve future versions of the assessments, rubrics and tutor-development materials.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