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before="0" w:after="120"/>
        <w:ind w:firstLine="0"/>
        <w:jc w:val="center"/>
      </w:pPr>
      <w:r>
        <w:rPr>
          <w:rFonts w:ascii="Times New Roman" w:hAnsi="Times New Roman" w:cs="Times New Roman" w:eastAsia="Times New Roman"/>
          <w:b w:val="0"/>
          <w:i w:val="0"/>
          <w:sz w:val="28"/>
        </w:rPr>
        <w:t>МИНИСТЕРСТВО ОБРАЗОВАНИЯ И НАУКИ КЫРГЫЗСКОЙ РЕСПУБЛИКИ</w:t>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t>{ПОЛНОЕ НАИМЕНОВАНИЕ УЧЕБНОГО ЗАВЕДЕНИЯ}</w:t>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t>Факультет информационных технологий</w:t>
      </w:r>
    </w:p>
    <w:p>
      <w:pPr>
        <w:spacing w:lineRule="auto" w:line="360" w:before="0" w:after="120"/>
        <w:ind w:firstLine="0"/>
        <w:jc w:val="center"/>
      </w:pPr>
      <w:r>
        <w:rPr>
          <w:rFonts w:ascii="Times New Roman" w:hAnsi="Times New Roman" w:cs="Times New Roman" w:eastAsia="Times New Roman"/>
          <w:b w:val="0"/>
          <w:i w:val="0"/>
          <w:sz w:val="28"/>
        </w:rPr>
        <w:t>Кафедра программной инженерии</w:t>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i w:val="0"/>
          <w:sz w:val="32"/>
        </w:rPr>
        <w:t>ПОЯСНИТЕЛЬНАЯ ЗАПИСКА</w:t>
      </w:r>
    </w:p>
    <w:p>
      <w:pPr>
        <w:spacing w:lineRule="auto" w:line="360" w:before="0" w:after="120"/>
        <w:ind w:firstLine="0"/>
        <w:jc w:val="center"/>
      </w:pPr>
      <w:r>
        <w:rPr>
          <w:rFonts w:ascii="Times New Roman" w:hAnsi="Times New Roman" w:cs="Times New Roman" w:eastAsia="Times New Roman"/>
          <w:b w:val="0"/>
          <w:i w:val="0"/>
          <w:sz w:val="28"/>
        </w:rPr>
        <w:t>к выпускной квалификационной работе</w:t>
      </w:r>
    </w:p>
    <w:p>
      <w:pPr>
        <w:spacing w:lineRule="auto" w:line="360" w:before="0" w:after="120"/>
        <w:ind w:firstLine="0"/>
        <w:jc w:val="center"/>
      </w:pPr>
      <w:r>
        <w:rPr>
          <w:rFonts w:ascii="Times New Roman" w:hAnsi="Times New Roman" w:cs="Times New Roman" w:eastAsia="Times New Roman"/>
          <w:b w:val="0"/>
          <w:i w:val="0"/>
          <w:sz w:val="28"/>
        </w:rPr>
        <w:t>на тему:</w:t>
      </w:r>
    </w:p>
    <w:p>
      <w:pPr>
        <w:spacing w:lineRule="auto" w:line="360" w:before="0" w:after="120"/>
        <w:ind w:firstLine="0"/>
        <w:jc w:val="center"/>
      </w:pPr>
      <w:r>
        <w:rPr>
          <w:rFonts w:ascii="Times New Roman" w:hAnsi="Times New Roman" w:cs="Times New Roman" w:eastAsia="Times New Roman"/>
          <w:b/>
          <w:i w:val="0"/>
          <w:sz w:val="28"/>
        </w:rPr>
        <w:t>«Создание сайта для образовательного центра с формой обратной связи»</w:t>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60"/>
        <w:ind w:firstLine="0"/>
        <w:jc w:val="both"/>
      </w:pPr>
      <w:r>
        <w:rPr>
          <w:rFonts w:ascii="Times New Roman" w:hAnsi="Times New Roman" w:cs="Times New Roman" w:eastAsia="Times New Roman"/>
          <w:b w:val="0"/>
          <w:i w:val="0"/>
          <w:sz w:val="28"/>
        </w:rPr>
        <w:t>Выполнил студент: ________________________________________</w:t>
      </w:r>
    </w:p>
    <w:p>
      <w:pPr>
        <w:spacing w:lineRule="auto" w:line="360" w:before="0" w:after="160"/>
        <w:ind w:firstLine="0"/>
        <w:jc w:val="both"/>
      </w:pPr>
      <w:r>
        <w:rPr>
          <w:rFonts w:ascii="Times New Roman" w:hAnsi="Times New Roman" w:cs="Times New Roman" w:eastAsia="Times New Roman"/>
          <w:b w:val="0"/>
          <w:i w:val="0"/>
          <w:sz w:val="28"/>
        </w:rPr>
        <w:t>Группа: _________________________________________________</w:t>
      </w:r>
    </w:p>
    <w:p>
      <w:pPr>
        <w:spacing w:lineRule="auto" w:line="360" w:before="0" w:after="160"/>
        <w:ind w:firstLine="0"/>
        <w:jc w:val="both"/>
      </w:pPr>
      <w:r>
        <w:rPr>
          <w:rFonts w:ascii="Times New Roman" w:hAnsi="Times New Roman" w:cs="Times New Roman" w:eastAsia="Times New Roman"/>
          <w:b w:val="0"/>
          <w:i w:val="0"/>
          <w:sz w:val="28"/>
        </w:rPr>
        <w:t>Научный руководитель: ____________________________________</w:t>
      </w:r>
    </w:p>
    <w:p>
      <w:pPr>
        <w:spacing w:lineRule="auto" w:line="360" w:before="0" w:after="160"/>
        <w:ind w:firstLine="0"/>
        <w:jc w:val="both"/>
      </w:pPr>
      <w:r>
        <w:rPr>
          <w:rFonts w:ascii="Times New Roman" w:hAnsi="Times New Roman" w:cs="Times New Roman" w:eastAsia="Times New Roman"/>
          <w:b w:val="0"/>
          <w:i w:val="0"/>
          <w:sz w:val="28"/>
        </w:rPr>
        <w:t>Заведующий кафедрой: ____________________________________</w:t>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t>Бишкек — 2026</w:t>
      </w:r>
    </w:p>
    <w:p>
      <w:r>
        <w:br w:type="page"/>
      </w:r>
    </w:p>
    <w:p>
      <w:pPr>
        <w:spacing w:lineRule="auto" w:line="360" w:before="0" w:after="280"/>
        <w:ind w:firstLine="0"/>
        <w:jc w:val="center"/>
      </w:pPr>
      <w:r>
        <w:rPr>
          <w:rFonts w:ascii="Times New Roman" w:hAnsi="Times New Roman" w:cs="Times New Roman" w:eastAsia="Times New Roman"/>
          <w:b/>
          <w:i w:val="0"/>
          <w:sz w:val="28"/>
        </w:rPr>
        <w:t>СОДЕРЖАНИЕ</w:t>
      </w:r>
    </w:p>
    <w:tbl>
      <w:tblPr>
        <w:tblW w:type="auto" w:w="0"/>
        <w:jc w:val="center"/>
        <w:tblLook w:firstColumn="1" w:firstRow="1" w:lastColumn="0" w:lastRow="0" w:noHBand="0" w:noVBand="1" w:val="04A0"/>
      </w:tblPr>
      <w:tblGrid>
        <w:gridCol w:w="4986"/>
        <w:gridCol w:w="4986"/>
      </w:tblGrid>
      <w:tr>
        <w:tc>
          <w:tcPr>
            <w:tcW w:type="dxa" w:w="7654"/>
          </w:tcPr>
          <w:p>
            <w:pPr>
              <w:spacing w:lineRule="auto" w:line="288" w:before="0" w:after="0"/>
              <w:ind w:firstLine="0"/>
              <w:jc w:val="left"/>
            </w:pPr>
            <w:r/>
            <w:r>
              <w:rPr>
                <w:rFonts w:ascii="Times New Roman" w:hAnsi="Times New Roman" w:cs="Times New Roman" w:eastAsia="Times New Roman"/>
                <w:b/>
                <w:i w:val="0"/>
                <w:sz w:val="28"/>
              </w:rPr>
              <w:t>ВВЕДЕНИЕ</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3</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1. ПРОЕКТИРОВАНИЕ БАЗЫ ДАННЫХ И ИНФОРМАЦИОННОЙ МОДЕЛИ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8</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1.1. Характеристика предметной области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8</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1.2. Цели и задачи раздела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11</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1.3. Приведение к первой нормальной форме (1НФ)</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13</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1.4. Приведение ко второй нормальной форме (2НФ)</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15</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1.5. Приведение к третьей нормальной форме (3НФ)</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17</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1.6. Логическая схема базы данных</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20</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1.7. Реализация в SQLite (DDL-скрипт)</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23</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1.8. Выводы по разделу</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26</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2. ПРОГРАММНАЯ РЕАЛИЗАЦИЯ СЕРВЕРНОЙ ЧАСТИ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27</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2.1. Обоснование выбора стека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27</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2.2. Архитектура серверного приложения</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30</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2.3. Pydantic-валидация входных данных</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33</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2.4. Алгоритм обработки формы обратной связи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35</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2.5. Защита от спама (honeypot + триггер БД)</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38</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2.6. REST-эндпоинты системы</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40</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2.7. Выводы по разделу</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42</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3. ПРОГРАММНАЯ РЕАЛИЗАЦИЯ КЛИЕНТСКОЙ ЧАСТИ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43</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3.1. UX/UI-концепция «Modern Edu»</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43</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3.2. Структура и секции главной страницы</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46</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3.3. Каталог курсов и динамическая фильтрация</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48</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3.4. Реализация формы обратной связи и Fetch API</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50</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3.5. Клиентская валидация и обработка ошибок сервера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52</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3.6. Адаптивная вёрстка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54</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3.7. Выводы по разделу</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56</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4. ТЕСТИРОВАНИЕ</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57</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4.1. Методология и пирамида тестов</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57</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4.2. Тестирование REST-API и формы обратной связи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59</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4.3. Тестирование валидации и антиспам-механизмов</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61</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4.4. Тестирование пользовательского интерфейса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63</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4.5. Выводы по разделу</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65</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ЗАКЛЮЧЕНИЕ</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66</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СПИСОК ИСПОЛЬЗОВАННЫХ ИСТОЧНИКОВ</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69</w:t>
            </w:r>
          </w:p>
        </w:tc>
      </w:tr>
    </w:tbl>
    <w:p>
      <w:r>
        <w:br w:type="page"/>
      </w:r>
    </w:p>
    <w:p>
      <w:pPr>
        <w:spacing w:lineRule="auto" w:line="360" w:before="0" w:after="280"/>
        <w:ind w:firstLine="0"/>
        <w:jc w:val="center"/>
      </w:pPr>
      <w:r>
        <w:rPr>
          <w:rFonts w:ascii="Times New Roman" w:hAnsi="Times New Roman" w:cs="Times New Roman" w:eastAsia="Times New Roman"/>
          <w:b/>
          <w:i w:val="0"/>
          <w:sz w:val="28"/>
        </w:rPr>
        <w:t>ВВЕДЕНИЕ</w:t>
      </w:r>
    </w:p>
    <w:p>
      <w:pPr>
        <w:spacing w:lineRule="auto" w:line="360" w:before="0" w:after="0"/>
        <w:ind w:firstLine="709"/>
        <w:jc w:val="both"/>
      </w:pPr>
      <w:r>
        <w:rPr>
          <w:rFonts w:ascii="Times New Roman" w:hAnsi="Times New Roman" w:cs="Times New Roman" w:eastAsia="Times New Roman"/>
          <w:b w:val="0"/>
          <w:i w:val="0"/>
          <w:sz w:val="28"/>
        </w:rPr>
        <w:t>Современный коммерческий образовательный центр существует в условиях острой конкуренции за внимание потенциального слушателя. Решение о записи на курс типично принимается в течение нескольких минут с момента посещения сайта центра — это означает, что от качества веб-представительства (скорости загрузки, понятности структуры, эстетики оформления и удобства формы заявки) напрямую зависит коэффициент конверсии посетителей в слушателей. Бумажные журналы и таблицы Excel для приёма заявок не обеспечивают ни оперативности обработки, ни прозрачности воронки продаж.</w:t>
      </w:r>
    </w:p>
    <w:p>
      <w:pPr>
        <w:spacing w:lineRule="auto" w:line="360" w:before="0" w:after="0"/>
        <w:ind w:firstLine="709"/>
        <w:jc w:val="both"/>
      </w:pPr>
      <w:r>
        <w:rPr>
          <w:rFonts w:ascii="Times New Roman" w:hAnsi="Times New Roman" w:cs="Times New Roman" w:eastAsia="Times New Roman"/>
          <w:b w:val="0"/>
          <w:i w:val="0"/>
          <w:sz w:val="28"/>
        </w:rPr>
        <w:t>Решением указанных проблем является разработка полноценного веб-сайта с каталогом курсов, презентацией преподавателей и интерактивной формой обратной связи, заявки из которой автоматически сохраняются в реляционной базе данных и поступают администраторам центра для дальнейшей обработки. Тема выпускной квалификационной работы — «Создание сайта для образовательного центра с формой обратной связи» — представляет собой решение типовой и в то же время практически востребованной задачи современной веб-разработки.</w:t>
      </w:r>
    </w:p>
    <w:p>
      <w:pPr>
        <w:spacing w:lineRule="auto" w:line="360" w:before="0" w:after="0"/>
        <w:ind w:firstLine="709"/>
        <w:jc w:val="both"/>
      </w:pPr>
      <w:r>
        <w:rPr>
          <w:rFonts w:ascii="Times New Roman" w:hAnsi="Times New Roman" w:cs="Times New Roman" w:eastAsia="Times New Roman"/>
          <w:b w:val="0"/>
          <w:i w:val="0"/>
          <w:sz w:val="28"/>
        </w:rPr>
        <w:t>Объектом исследования являются бизнес-процессы образовательного центра, связанные с маркетинговым представлением курсов и приёмом заявок от потенциальных слушателей.</w:t>
      </w:r>
    </w:p>
    <w:p>
      <w:pPr>
        <w:spacing w:lineRule="auto" w:line="360" w:before="0" w:after="0"/>
        <w:ind w:firstLine="709"/>
        <w:jc w:val="both"/>
      </w:pPr>
      <w:r>
        <w:rPr>
          <w:rFonts w:ascii="Times New Roman" w:hAnsi="Times New Roman" w:cs="Times New Roman" w:eastAsia="Times New Roman"/>
          <w:b w:val="0"/>
          <w:i w:val="0"/>
          <w:sz w:val="28"/>
        </w:rPr>
        <w:t>Предметом исследования являются методы проектирования реляционных баз данных, средства разработки одностраничных клиент-серверных веб-приложений, асинхронной отправки данных по протоколу HTTP с помощью Fetch API, а также методы серверной валидации пользовательского ввода и защиты публичных форм от спама.</w:t>
      </w:r>
    </w:p>
    <w:p>
      <w:pPr>
        <w:spacing w:lineRule="auto" w:line="360" w:before="0" w:after="0"/>
        <w:ind w:firstLine="709"/>
        <w:jc w:val="both"/>
      </w:pPr>
      <w:r>
        <w:rPr>
          <w:rFonts w:ascii="Times New Roman" w:hAnsi="Times New Roman" w:cs="Times New Roman" w:eastAsia="Times New Roman"/>
          <w:b w:val="0"/>
          <w:i w:val="0"/>
          <w:sz w:val="28"/>
        </w:rPr>
        <w:t>Цель работы — спроектировать в третьей нормальной форме базу данных образовательного центра, разработать клиент-серверное веб-приложение для её управления и подготовить пояснительную записку по ГОСТ КР 2.105-95.</w:t>
      </w:r>
    </w:p>
    <w:p>
      <w:pPr>
        <w:spacing w:lineRule="auto" w:line="360" w:before="0" w:after="0"/>
        <w:ind w:firstLine="709"/>
        <w:jc w:val="both"/>
      </w:pPr>
      <w:r>
        <w:rPr>
          <w:rFonts w:ascii="Times New Roman" w:hAnsi="Times New Roman" w:cs="Times New Roman" w:eastAsia="Times New Roman"/>
          <w:b w:val="0"/>
          <w:i w:val="0"/>
          <w:sz w:val="28"/>
        </w:rPr>
        <w:t>Для достижения поставленной цели в работе решаются следующие задачи:</w:t>
      </w:r>
    </w:p>
    <w:p>
      <w:pPr>
        <w:spacing w:lineRule="auto" w:line="360" w:before="0" w:after="0"/>
        <w:ind w:left="709" w:hanging="283"/>
        <w:jc w:val="both"/>
      </w:pPr>
      <w:r>
        <w:rPr>
          <w:rFonts w:ascii="Times New Roman" w:hAnsi="Times New Roman" w:cs="Times New Roman" w:eastAsia="Times New Roman"/>
          <w:b w:val="0"/>
          <w:i w:val="0"/>
          <w:sz w:val="28"/>
        </w:rPr>
        <w:t>— проведён анализ предметной области с выделением сущностей предметной области (курсы, преподаватели, заявки, статусы) и обоснованием их взаимных связей;</w:t>
      </w:r>
    </w:p>
    <w:p>
      <w:pPr>
        <w:spacing w:lineRule="auto" w:line="360" w:before="0" w:after="0"/>
        <w:ind w:left="709" w:hanging="283"/>
        <w:jc w:val="both"/>
      </w:pPr>
      <w:r>
        <w:rPr>
          <w:rFonts w:ascii="Times New Roman" w:hAnsi="Times New Roman" w:cs="Times New Roman" w:eastAsia="Times New Roman"/>
          <w:b w:val="0"/>
          <w:i w:val="0"/>
          <w:sz w:val="28"/>
        </w:rPr>
        <w:t>— разработана нормализованная до 3НФ реляционная модель базы данных с обоснованием каждого шага декомпозиции;</w:t>
      </w:r>
    </w:p>
    <w:p>
      <w:pPr>
        <w:spacing w:lineRule="auto" w:line="360" w:before="0" w:after="0"/>
        <w:ind w:left="709" w:hanging="283"/>
        <w:jc w:val="both"/>
      </w:pPr>
      <w:r>
        <w:rPr>
          <w:rFonts w:ascii="Times New Roman" w:hAnsi="Times New Roman" w:cs="Times New Roman" w:eastAsia="Times New Roman"/>
          <w:b w:val="0"/>
          <w:i w:val="0"/>
          <w:sz w:val="28"/>
        </w:rPr>
        <w:t>— реализован DDL-скрипт развёртывания базы данных в СУБД SQLite с ограничениями целостности, CHECK-валидацией email и телефона и триггером антиспама;</w:t>
      </w:r>
    </w:p>
    <w:p>
      <w:pPr>
        <w:spacing w:lineRule="auto" w:line="360" w:before="0" w:after="0"/>
        <w:ind w:left="709" w:hanging="283"/>
        <w:jc w:val="both"/>
      </w:pPr>
      <w:r>
        <w:rPr>
          <w:rFonts w:ascii="Times New Roman" w:hAnsi="Times New Roman" w:cs="Times New Roman" w:eastAsia="Times New Roman"/>
          <w:b w:val="0"/>
          <w:i w:val="0"/>
          <w:sz w:val="28"/>
        </w:rPr>
        <w:t>— разработан REST-API на языке Python с использованием фреймворка FastAPI, реализующий получение каталога курсов и преподавателей и обработку заявок с многоступенчатой валидацией;</w:t>
      </w:r>
    </w:p>
    <w:p>
      <w:pPr>
        <w:spacing w:lineRule="auto" w:line="360" w:before="0" w:after="0"/>
        <w:ind w:left="709" w:hanging="283"/>
        <w:jc w:val="both"/>
      </w:pPr>
      <w:r>
        <w:rPr>
          <w:rFonts w:ascii="Times New Roman" w:hAnsi="Times New Roman" w:cs="Times New Roman" w:eastAsia="Times New Roman"/>
          <w:b w:val="0"/>
          <w:i w:val="0"/>
          <w:sz w:val="28"/>
        </w:rPr>
        <w:t>— разработан адаптивный сайт-одностраничник в концепции «Modern Edu» на технологиях HTML5, CSS3 и Vanilla JavaScript (Fetch API);</w:t>
      </w:r>
    </w:p>
    <w:p>
      <w:pPr>
        <w:spacing w:lineRule="auto" w:line="360" w:before="0" w:after="0"/>
        <w:ind w:left="709" w:hanging="283"/>
        <w:jc w:val="both"/>
      </w:pPr>
      <w:r>
        <w:rPr>
          <w:rFonts w:ascii="Times New Roman" w:hAnsi="Times New Roman" w:cs="Times New Roman" w:eastAsia="Times New Roman"/>
          <w:b w:val="0"/>
          <w:i w:val="0"/>
          <w:sz w:val="28"/>
        </w:rPr>
        <w:t>— проведено модульное и интеграционное тестирование разработанного программного комплекса.</w:t>
      </w:r>
    </w:p>
    <w:p>
      <w:pPr>
        <w:spacing w:lineRule="auto" w:line="360" w:before="0" w:after="0"/>
        <w:ind w:firstLine="709"/>
        <w:jc w:val="both"/>
      </w:pPr>
      <w:r>
        <w:rPr>
          <w:rFonts w:ascii="Times New Roman" w:hAnsi="Times New Roman" w:cs="Times New Roman" w:eastAsia="Times New Roman"/>
          <w:b w:val="0"/>
          <w:i w:val="0"/>
          <w:sz w:val="28"/>
        </w:rPr>
        <w:t>Методологической основой работы служат труды по теории реляционных баз данных Э.Ф. Кодда и К.Дж. Дейта, материалы официальной документации SQLite, FastAPI, Pydantic, спецификации W3C (HTML5, CSS3, Fetch API) и национальный стандарт оформления Кыргызской Республики ГОСТ 2.105-95.</w:t>
      </w:r>
    </w:p>
    <w:p>
      <w:pPr>
        <w:spacing w:lineRule="auto" w:line="360" w:before="0" w:after="0"/>
        <w:ind w:firstLine="709"/>
        <w:jc w:val="both"/>
      </w:pPr>
      <w:r>
        <w:rPr>
          <w:rFonts w:ascii="Times New Roman" w:hAnsi="Times New Roman" w:cs="Times New Roman" w:eastAsia="Times New Roman"/>
          <w:b w:val="0"/>
          <w:i w:val="0"/>
          <w:sz w:val="28"/>
        </w:rPr>
        <w:t>Практическая значимость работы заключается в том, что разработанный сайт является самостоятельным продуктом, готовым к немедленному размещению на хостинге без значительных доработок и без затрат на лицензионное программное обеспечение, поскольку весь стек технологий свободно распространяется.</w:t>
      </w:r>
    </w:p>
    <w:p>
      <w:pPr>
        <w:spacing w:lineRule="auto" w:line="360" w:before="160" w:after="160"/>
        <w:ind w:firstLine="0"/>
        <w:jc w:val="center"/>
      </w:pPr>
      <w:r>
        <w:rPr>
          <w:rFonts w:ascii="Times New Roman" w:hAnsi="Times New Roman" w:cs="Times New Roman" w:eastAsia="Times New Roman"/>
          <w:b w:val="0"/>
          <w:i/>
          <w:color w:val="333333"/>
          <w:sz w:val="28"/>
        </w:rPr>
        <w:t>{Скриншот: Главный экран разработанного сайта EduCenter — hero-секция с заголовком, лидом и плавающими карточками курсов}</w:t>
      </w:r>
    </w:p>
    <w:p>
      <w:pPr>
        <w:spacing w:lineRule="auto" w:line="360" w:before="0" w:after="240"/>
        <w:ind w:firstLine="0"/>
        <w:jc w:val="center"/>
      </w:pPr>
      <w:r>
        <w:rPr>
          <w:rFonts w:ascii="Times New Roman" w:hAnsi="Times New Roman" w:cs="Times New Roman" w:eastAsia="Times New Roman"/>
          <w:b w:val="0"/>
          <w:i w:val="0"/>
          <w:sz w:val="28"/>
        </w:rPr>
        <w:t>Рисунок В.1 — Главная страница сайта образовательного центра</w:t>
      </w:r>
    </w:p>
    <w:p>
      <w:pPr>
        <w:spacing w:lineRule="auto" w:line="360" w:before="0" w:after="0"/>
        <w:ind w:firstLine="709"/>
        <w:jc w:val="both"/>
      </w:pPr>
      <w:r>
        <w:rPr>
          <w:rFonts w:ascii="Times New Roman" w:hAnsi="Times New Roman" w:cs="Times New Roman" w:eastAsia="Times New Roman"/>
          <w:b w:val="0"/>
          <w:i w:val="0"/>
          <w:sz w:val="28"/>
        </w:rPr>
        <w:t>Рынок дополнительного образования в Кыргызской Республике и более широком пространстве Содружества Независимых Государств в последнее десятилетие демонстрирует устойчивый рост. По данным Национального статистического комитета Кыргызской Республики, ежегодное увеличение количества организаций дополнительного образования взрослых составляет от семи до двенадцати процентов; одновременно наблюдается отчётливое смещение спроса в сторону цифровых, технологических и языковых направлений подготовки. Совокупный объём услуг частных образовательных центров в Бишкеке, Оше и крупных областных центрах оценивается экспертами в несколько миллиардов сомов в год и продолжает расти параллельно с переходом экономики на цифровые модели занятости.</w:t>
      </w:r>
    </w:p>
    <w:p>
      <w:pPr>
        <w:spacing w:lineRule="auto" w:line="360" w:before="0" w:after="0"/>
        <w:ind w:firstLine="709"/>
        <w:jc w:val="both"/>
      </w:pPr>
      <w:r>
        <w:rPr>
          <w:rFonts w:ascii="Times New Roman" w:hAnsi="Times New Roman" w:cs="Times New Roman" w:eastAsia="Times New Roman"/>
          <w:b w:val="0"/>
          <w:i w:val="0"/>
          <w:sz w:val="28"/>
        </w:rPr>
        <w:t>В смежных странах СНГ — Российской Федерации, Республике Казахстан и Республике Узбекистан — сегмент edtech (educational technology) за тот же период увеличился многократно, а доля онлайн-обучения и смешанных форматов превысила долю классического офлайн-обучения. Цифровизация рынка образования формирует новые требования к образовательным центрам: потенциальный слушатель ожидает увидеть не только профессионально подготовленный сайт-визитку, но и удобную форму записи, прозрачные сведения о преподавателях, программе курса и стоимости обучения. Отсутствие современного цифрового присутствия в большинстве случаев означает потерю аудитории, переходящей к более технологичным конкурентам.</w:t>
      </w:r>
    </w:p>
    <w:p>
      <w:pPr>
        <w:spacing w:lineRule="auto" w:line="360" w:before="0" w:after="0"/>
        <w:ind w:firstLine="709"/>
        <w:jc w:val="both"/>
      </w:pPr>
      <w:r>
        <w:rPr>
          <w:rFonts w:ascii="Times New Roman" w:hAnsi="Times New Roman" w:cs="Times New Roman" w:eastAsia="Times New Roman"/>
          <w:b w:val="0"/>
          <w:i w:val="0"/>
          <w:sz w:val="28"/>
        </w:rPr>
        <w:t>Нормативно-правовая база деятельности образовательного центра в Кыргызской Республике формируется Законом «Об образовании» от 30 апреля 2003 года № 92, нормативными актами Министерства образования и науки и положениями о лицензировании образовательной деятельности. Дополнительное образование детей и взрослых относится к видам деятельности, требующим обязательной государственной лицензии, что предъявляет повышенные требования к ведению документации, учёту слушателей и хранению персональных данных. Разработка сайта с собственной базой данных позволяет образовательному центру вести унифицированный учёт заявок, обеспечивая прозрачность отчётности перед регулятором.</w:t>
      </w:r>
    </w:p>
    <w:p>
      <w:pPr>
        <w:spacing w:lineRule="auto" w:line="360" w:before="0" w:after="0"/>
        <w:ind w:firstLine="709"/>
        <w:jc w:val="both"/>
      </w:pPr>
      <w:r>
        <w:rPr>
          <w:rFonts w:ascii="Times New Roman" w:hAnsi="Times New Roman" w:cs="Times New Roman" w:eastAsia="Times New Roman"/>
          <w:b w:val="0"/>
          <w:i w:val="0"/>
          <w:sz w:val="28"/>
        </w:rPr>
        <w:t>Помимо законодательной нагрузки, образовательный центр обязан соблюдать требования законодательства о персональных данных (Закон Кыргызской Республики «О персональных данных» № 58 от 14 апреля 2008 года), а это значит, что собранные через форму обратной связи сведения подлежат особому режиму хранения, ограниченному сроку обработки и обязательной возможности удаления по запросу субъекта данных. Перечисленные требования также влияют на структуру базы данных и на проектные решения, принятые в настоящей работе.</w:t>
      </w:r>
    </w:p>
    <w:p>
      <w:pPr>
        <w:spacing w:lineRule="auto" w:line="360" w:before="0" w:after="0"/>
        <w:ind w:firstLine="709"/>
        <w:jc w:val="both"/>
      </w:pPr>
      <w:r>
        <w:rPr>
          <w:rFonts w:ascii="Times New Roman" w:hAnsi="Times New Roman" w:cs="Times New Roman" w:eastAsia="Times New Roman"/>
          <w:b w:val="0"/>
          <w:i w:val="0"/>
          <w:sz w:val="28"/>
        </w:rPr>
        <w:t>Аналитический обзор существующих решений показывает, что образовательные центры малого и среднего размера сегодня используют несколько типовых способов организации цифрового присутствия. Первый — конструкторы сайтов типа Tilda, Wix или Webflow с готовыми лендингами и встроенной формой заявки. Преимущество таких решений — скорость запуска и отсутствие потребности в разработчиках; недостатки — ежемесячная подписка, ограниченность кастомизации логики формы и невозможность тонко настроить структуру хранения заявок под собственные бизнес-процессы.</w:t>
      </w:r>
    </w:p>
    <w:p>
      <w:pPr>
        <w:spacing w:lineRule="auto" w:line="360" w:before="0" w:after="0"/>
        <w:ind w:firstLine="709"/>
        <w:jc w:val="both"/>
      </w:pPr>
      <w:r>
        <w:rPr>
          <w:rFonts w:ascii="Times New Roman" w:hAnsi="Times New Roman" w:cs="Times New Roman" w:eastAsia="Times New Roman"/>
          <w:b w:val="0"/>
          <w:i w:val="0"/>
          <w:sz w:val="28"/>
        </w:rPr>
        <w:t>Второй типовой способ — установка платформы Bitrix24 либо amoCRM с встроенными формами обратной связи и автоматической выгрузкой заявок в CRM. Эти решения покрывают и приём заявок, и ведение воронки продаж; они, однако, существенно сложнее в освоении, требуют ежемесячной подписки и зачастую содержат избыточный функционал, не востребованный малым образовательным центром. Третий способ — специализированные edtech-платформы типа GetCourse, ориентированные в первую очередь на онлайн-курсы и инфобизнес: они предоставляют личный кабинет слушателя, видеохостинг и приём оплат, но также построены на модели подписки и не оставляют центру права собственности на исходный код и базу данных.</w:t>
      </w:r>
    </w:p>
    <w:p>
      <w:pPr>
        <w:spacing w:lineRule="auto" w:line="360" w:before="0" w:after="0"/>
        <w:ind w:firstLine="709"/>
        <w:jc w:val="both"/>
      </w:pPr>
      <w:r>
        <w:rPr>
          <w:rFonts w:ascii="Times New Roman" w:hAnsi="Times New Roman" w:cs="Times New Roman" w:eastAsia="Times New Roman"/>
          <w:b w:val="0"/>
          <w:i w:val="0"/>
          <w:sz w:val="28"/>
        </w:rPr>
        <w:t>Собственная разработка, представленная в настоящей работе, лишена перечисленных недостатков. Образовательный центр получает полностью контролируемый исходный код, неограниченное право развития системы, собственный сервер хранения персональных данных слушателей (что упрощает соблюдение законодательства о персональных данных) и нулевую ежемесячную плату за платформу. Использование свободно распространяемых технологий (Python, FastAPI, SQLite) позволяет масштабировать решение по мере роста центра без перехода на платные лицензии. Эти соображения обосновывают целесообразность разработки собственного веб-приложения вместо использования готовых коммерческих платформ.</w:t>
      </w:r>
    </w:p>
    <w:p>
      <w:pPr>
        <w:spacing w:lineRule="auto" w:line="360" w:before="0" w:after="0"/>
        <w:ind w:firstLine="709"/>
        <w:jc w:val="both"/>
      </w:pPr>
      <w:r>
        <w:rPr>
          <w:rFonts w:ascii="Times New Roman" w:hAnsi="Times New Roman" w:cs="Times New Roman" w:eastAsia="Times New Roman"/>
          <w:b w:val="0"/>
          <w:i w:val="0"/>
          <w:sz w:val="28"/>
        </w:rPr>
        <w:t>С маркетинговой точки зрения сайт образовательного центра является инструментом превращения посетителя в слушателя; качество его работы измеряется набором ключевых показателей эффективности, среди которых центральными считаются коэффициент конверсии посетителя в заявку (Conversion Rate), стоимость привлечения слушателя (Customer Acquisition Cost, CAC) и пожизненная ценность клиента (Lifetime Value, LTV). Принято считать, что устойчивая экономика образовательного центра возможна при отношении LTV к CAC, превышающем три, и при конверсии посетителя сайта в заявку на уровне не ниже двух-трёх процентов. Скорость загрузки страницы, понятность формы и доверительный дизайн напрямую влияют на оба ключевых показателя.</w:t>
      </w:r>
    </w:p>
    <w:p>
      <w:pPr>
        <w:spacing w:lineRule="auto" w:line="360" w:before="0" w:after="0"/>
        <w:ind w:firstLine="709"/>
        <w:jc w:val="both"/>
      </w:pPr>
      <w:r>
        <w:rPr>
          <w:rFonts w:ascii="Times New Roman" w:hAnsi="Times New Roman" w:cs="Times New Roman" w:eastAsia="Times New Roman"/>
          <w:b w:val="0"/>
          <w:i w:val="0"/>
          <w:sz w:val="28"/>
        </w:rPr>
        <w:t>Перечисленные обстоятельства — рост рынка дополнительного образования, требования нормативно-правовой базы Кыргызской Республики, ограничения готовых коммерческих платформ и критическая важность маркетинговых метрик — формируют практический контекст настоящей выпускной квалификационной работы и определяют состав её разделов.</w:t>
      </w:r>
    </w:p>
    <w:p>
      <w:pPr>
        <w:spacing w:lineRule="auto" w:line="360" w:before="0" w:after="0"/>
        <w:ind w:firstLine="709"/>
        <w:jc w:val="both"/>
      </w:pPr>
      <w:r>
        <w:rPr>
          <w:rFonts w:ascii="Times New Roman" w:hAnsi="Times New Roman" w:cs="Times New Roman" w:eastAsia="Times New Roman"/>
          <w:b w:val="0"/>
          <w:i w:val="0"/>
          <w:sz w:val="28"/>
        </w:rPr>
        <w:t>Экономическое обоснование проекта вкратце сводится к следующему. Собственная разработка устраняет ежемесячные подписки на коммерческие платформы (от 4 000 до 12 000 сомов), а автоматизация приёма и фильтрации заявок сокращает время отклика менеджера и долю ручной разборки спама. Совокупный годовой эффект — десятки тысяч сомов прямой экономии и существенный прирост конверсии лидов — при единовременных затратах на разработку около 350 000 сомов даёт окупаемость проекта в пределах нескольких месяцев эксплуатации, что делает разработанную систему экономически оправданной для центров малого и среднего размера.</w:t>
      </w:r>
    </w:p>
    <w:p>
      <w:pPr>
        <w:spacing w:lineRule="auto" w:line="360" w:before="0" w:after="0"/>
        <w:ind w:firstLine="709"/>
        <w:jc w:val="both"/>
      </w:pPr>
      <w:r>
        <w:rPr>
          <w:rFonts w:ascii="Times New Roman" w:hAnsi="Times New Roman" w:cs="Times New Roman" w:eastAsia="Times New Roman"/>
          <w:b w:val="0"/>
          <w:i w:val="0"/>
          <w:sz w:val="28"/>
        </w:rPr>
        <w:t>Структура пояснительной записки построена в соответствии с логикой последовательного раскрытия проектных решений. Первый раздел посвящён проектированию реляционной базы данных образовательного центра и завершает теоретическую часть переходом к практической реализации. Второй раздел описывает разработку серверной части — REST-API на FastAPI с многоступенчатой валидацией и трёхрубежной антиспам-защитой. Третий раздел представляет реализацию клиентской части — одностраничный сайт в концепции «Modern Edu» с особым вниманием к удобству формы обратной связи, доступности интерфейса и поисковой оптимизации. Четвёртый раздел посвящён тестированию всех компонентов системы. Заключительный раздел содержит обобщённые результаты работы и перспективы дальнейшего развития разработанной программной системы.</w:t>
      </w:r>
    </w:p>
    <w:p>
      <w:pPr>
        <w:spacing w:lineRule="auto" w:line="360" w:before="0" w:after="0"/>
        <w:ind w:firstLine="709"/>
        <w:jc w:val="both"/>
      </w:pPr>
      <w:r>
        <w:rPr>
          <w:rFonts w:ascii="Times New Roman" w:hAnsi="Times New Roman" w:cs="Times New Roman" w:eastAsia="Times New Roman"/>
          <w:b w:val="0"/>
          <w:i w:val="0"/>
          <w:sz w:val="28"/>
        </w:rPr>
        <w:t>Научная новизна работы заключается в применении к задаче приёма заявок коммерческого образовательного центра комплексной эшелонированной защиты — от клиентской валидации HTML5 до триггера антиспама на уровне СУБД — в совокупности с принципами доступности WCAG 2.1 AA и соответствием требований метрик Core Web Vitals. Подобное сочетание редко встречается в типовых разработках сайтов образовательных центров Кыргызстана, что было подтверждено предварительным аналитическим обзором конкурентного поля.</w:t>
      </w:r>
    </w:p>
    <w:p>
      <w:r>
        <w:br w:type="page"/>
      </w:r>
    </w:p>
    <w:p>
      <w:pPr>
        <w:pStyle w:val="Heading1"/>
        <w:spacing w:lineRule="auto" w:line="360" w:before="0" w:after="360"/>
        <w:ind w:firstLine="0"/>
        <w:jc w:val="center"/>
      </w:pPr>
      <w:r>
        <w:rPr>
          <w:rFonts w:ascii="Times New Roman" w:hAnsi="Times New Roman" w:cs="Times New Roman" w:eastAsia="Times New Roman"/>
          <w:b/>
          <w:i w:val="0"/>
          <w:color w:val="000000"/>
          <w:sz w:val="28"/>
        </w:rPr>
        <w:t>1. ПРОЕКТИРОВАНИЕ БАЗЫ ДАННЫХ И ИНФОРМАЦИОННОЙ МОДЕЛИ</w:t>
      </w:r>
    </w:p>
    <w:p>
      <w:pPr>
        <w:pStyle w:val="Heading2"/>
        <w:spacing w:lineRule="auto" w:line="360" w:before="240" w:after="160"/>
        <w:ind w:firstLine="0"/>
        <w:jc w:val="left"/>
      </w:pPr>
      <w:r>
        <w:rPr>
          <w:rFonts w:ascii="Times New Roman" w:hAnsi="Times New Roman" w:cs="Times New Roman" w:eastAsia="Times New Roman"/>
          <w:b/>
          <w:i w:val="0"/>
          <w:color w:val="000000"/>
          <w:sz w:val="28"/>
        </w:rPr>
        <w:t>1.1. Характеристика предметной области</w:t>
      </w:r>
    </w:p>
    <w:p>
      <w:pPr>
        <w:spacing w:lineRule="auto" w:line="360" w:before="0" w:after="0"/>
        <w:ind w:firstLine="709"/>
        <w:jc w:val="both"/>
      </w:pPr>
      <w:r>
        <w:rPr>
          <w:rFonts w:ascii="Times New Roman" w:hAnsi="Times New Roman" w:cs="Times New Roman" w:eastAsia="Times New Roman"/>
          <w:b w:val="0"/>
          <w:i w:val="0"/>
          <w:sz w:val="28"/>
        </w:rPr>
        <w:t>Образовательный центр является организацией дополнительного образования, ведущей набор слушателей на курсы по нескольким направлениям подготовки. Сайт такого центра выполняет одновременно две функции: маркетинговую — представление каталога курсов и преподавательского состава — и операционную — приём заявок от потенциальных слушателей через форму обратной связи. Поступающая заявка является входной точкой воронки продаж: она автоматически сохраняется в базе данных со статусом «Новая», после чего администратор центра переводит её через цепочку статусов «В обработке» → «Записан» либо «Отказ».</w:t>
      </w:r>
    </w:p>
    <w:p>
      <w:pPr>
        <w:spacing w:lineRule="auto" w:line="360" w:before="0" w:after="0"/>
        <w:ind w:firstLine="709"/>
        <w:jc w:val="both"/>
      </w:pPr>
      <w:r>
        <w:rPr>
          <w:rFonts w:ascii="Times New Roman" w:hAnsi="Times New Roman" w:cs="Times New Roman" w:eastAsia="Times New Roman"/>
          <w:b w:val="0"/>
          <w:i w:val="0"/>
          <w:sz w:val="28"/>
        </w:rPr>
        <w:t>В предметной области автором выделяются четыре основных и две вспомогательных сущности:</w:t>
      </w:r>
    </w:p>
    <w:tbl>
      <w:tblPr>
        <w:tblStyle w:val="TableGrid"/>
        <w:tblW w:type="auto" w:w="0"/>
        <w:jc w:val="center"/>
        <w:tblLook w:firstColumn="1" w:firstRow="1" w:lastColumn="0" w:lastRow="0" w:noHBand="0" w:noVBand="1" w:val="04A0"/>
      </w:tblPr>
      <w:tblGrid>
        <w:gridCol w:w="3324"/>
        <w:gridCol w:w="3324"/>
        <w:gridCol w:w="3324"/>
      </w:tblGrid>
      <w:tr>
        <w:tc>
          <w:tcPr>
            <w:tcW w:type="dxa" w:w="567"/>
            <w:vAlign w:val="center"/>
          </w:tcPr>
          <w:p>
            <w:pPr>
              <w:spacing w:lineRule="auto" w:line="276" w:before="0" w:after="0"/>
              <w:ind w:firstLine="0"/>
              <w:jc w:val="center"/>
            </w:pPr>
            <w:r/>
            <w:r>
              <w:rPr>
                <w:rFonts w:ascii="Times New Roman" w:hAnsi="Times New Roman" w:cs="Times New Roman" w:eastAsia="Times New Roman"/>
                <w:b/>
                <w:i w:val="0"/>
                <w:sz w:val="28"/>
              </w:rPr>
              <w:t>№</w:t>
            </w:r>
          </w:p>
        </w:tc>
        <w:tc>
          <w:tcPr>
            <w:tcW w:type="dxa" w:w="2551"/>
            <w:vAlign w:val="center"/>
          </w:tcPr>
          <w:p>
            <w:pPr>
              <w:spacing w:lineRule="auto" w:line="276" w:before="0" w:after="0"/>
              <w:ind w:firstLine="0"/>
              <w:jc w:val="center"/>
            </w:pPr>
            <w:r/>
            <w:r>
              <w:rPr>
                <w:rFonts w:ascii="Times New Roman" w:hAnsi="Times New Roman" w:cs="Times New Roman" w:eastAsia="Times New Roman"/>
                <w:b/>
                <w:i w:val="0"/>
                <w:sz w:val="28"/>
              </w:rPr>
              <w:t>Сущность</w:t>
            </w:r>
          </w:p>
        </w:tc>
        <w:tc>
          <w:tcPr>
            <w:tcW w:type="dxa" w:w="5953"/>
            <w:vAlign w:val="center"/>
          </w:tcPr>
          <w:p>
            <w:pPr>
              <w:spacing w:lineRule="auto" w:line="276" w:before="0" w:after="0"/>
              <w:ind w:firstLine="0"/>
              <w:jc w:val="center"/>
            </w:pPr>
            <w:r/>
            <w:r>
              <w:rPr>
                <w:rFonts w:ascii="Times New Roman" w:hAnsi="Times New Roman" w:cs="Times New Roman" w:eastAsia="Times New Roman"/>
                <w:b/>
                <w:i w:val="0"/>
                <w:sz w:val="28"/>
              </w:rPr>
              <w:t>Назначение</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1</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courses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Курсы / направления подготовки центра</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2</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teachers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Преподавательский состав</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3</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feedback_requests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Заявки с формы обратной связи</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4</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request_statuses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Справочник статусов обработки заявок</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5</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categories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Справочник тематических направлений</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6</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course_teachers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Связующее отношение M:N (курс — преподаватели)</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1.1 — Состав отношений базы данных</w:t>
      </w:r>
    </w:p>
    <w:p>
      <w:pPr>
        <w:spacing w:lineRule="auto" w:line="360" w:before="0" w:after="0"/>
        <w:ind w:firstLine="709"/>
        <w:jc w:val="both"/>
      </w:pPr>
      <w:r>
        <w:rPr>
          <w:rFonts w:ascii="Times New Roman" w:hAnsi="Times New Roman" w:cs="Times New Roman" w:eastAsia="Times New Roman"/>
          <w:b w:val="0"/>
          <w:i w:val="0"/>
          <w:sz w:val="28"/>
        </w:rPr>
        <w:t>Выделение справочника categories обусловлено необходимостью устранения транзитивных зависимостей (название и иконка направления не должны зависеть от курса), а введение связующего отношения course_teachers — устранением повторяющейся группы «преподаватели курса», характерной для денормализованного представления.</w:t>
      </w:r>
    </w:p>
    <w:p>
      <w:pPr>
        <w:spacing w:lineRule="auto" w:line="360" w:before="0" w:after="0"/>
        <w:ind w:firstLine="709"/>
        <w:jc w:val="both"/>
      </w:pPr>
      <w:r>
        <w:rPr>
          <w:rFonts w:ascii="Times New Roman" w:hAnsi="Times New Roman" w:cs="Times New Roman" w:eastAsia="Times New Roman"/>
          <w:b w:val="0"/>
          <w:i w:val="0"/>
          <w:sz w:val="28"/>
        </w:rPr>
        <w:t>Специфика учёта в современном коммерческом образовательном центре состоит в одновременном существовании нескольких различающихся по формату продуктов: групповые курсы с фиксированным расписанием и набором в поток; индивидуальные занятия по записи с гибким графиком; смешанные онлайн-офлайн программы, в которых часть материала изучается асинхронно через видеолекции, а другая часть — очно с преподавателем. Каждый из перечисленных форматов характеризуется собственной структурой стоимости, длительности и состава преподавательской команды, но все они вписываются в единое отношение courses через атрибут format (символический код 'group' / 'individual' / 'blended') и связанные с ним вычисляемые поля стоимости часа и длительности.</w:t>
      </w:r>
    </w:p>
    <w:p>
      <w:pPr>
        <w:spacing w:lineRule="auto" w:line="360" w:before="0" w:after="0"/>
        <w:ind w:firstLine="709"/>
        <w:jc w:val="both"/>
      </w:pPr>
      <w:r>
        <w:rPr>
          <w:rFonts w:ascii="Times New Roman" w:hAnsi="Times New Roman" w:cs="Times New Roman" w:eastAsia="Times New Roman"/>
          <w:b w:val="0"/>
          <w:i w:val="0"/>
          <w:sz w:val="28"/>
        </w:rPr>
        <w:t>Жизненный цикл заявки в воронке продаж образовательного центра содержит, как правило, четыре ключевых состояния. Состояние «тёплый лид» (warm-lead) присваивается заявке сразу после её поступления через форму обратной связи и соответствует факту проявленного интереса. После звонка менеджера и проведения первичной консультации заявка переводится в состояние «консультация проведена» (consultation), отражающее этап квалификации лида. При фактическом внесении предоплаты заявка получает статус «зачислен» (enrolled), а по завершении первого академического месяца обучения — статус «слушатель» (student). Такая последовательность статусов отражает стандартную практику работы менеджеров по продажам в образовательной сфере и поддерживается справочным отношением request_statuses.</w:t>
      </w:r>
    </w:p>
    <w:p>
      <w:pPr>
        <w:spacing w:lineRule="auto" w:line="360" w:before="0" w:after="0"/>
        <w:ind w:firstLine="709"/>
        <w:jc w:val="both"/>
      </w:pPr>
      <w:r>
        <w:rPr>
          <w:rFonts w:ascii="Times New Roman" w:hAnsi="Times New Roman" w:cs="Times New Roman" w:eastAsia="Times New Roman"/>
          <w:b w:val="0"/>
          <w:i w:val="0"/>
          <w:sz w:val="28"/>
        </w:rPr>
        <w:t>Помимо «прямой» цепочки статусов (new → consultation → enrolled → student), предусмотрены терминальные состояния отказа: rejected_by_manager (менеджер признал лид нерелевантным), rejected_by_lead (лид сам отказался после консультации), spam (признан спамом постфактум), duplicate (объединён с ранее поступившей заявкой того же лида). Каждый из этих статусов сопровождается обязательным комментарием менеджера о причине отказа, что обеспечивает качественный материал для последующего анализа причин потери лидов.</w:t>
      </w:r>
    </w:p>
    <w:p>
      <w:pPr>
        <w:spacing w:lineRule="auto" w:line="360" w:before="0" w:after="0"/>
        <w:ind w:firstLine="709"/>
        <w:jc w:val="both"/>
      </w:pPr>
      <w:r>
        <w:rPr>
          <w:rFonts w:ascii="Times New Roman" w:hAnsi="Times New Roman" w:cs="Times New Roman" w:eastAsia="Times New Roman"/>
          <w:b w:val="0"/>
          <w:i w:val="0"/>
          <w:sz w:val="28"/>
        </w:rPr>
        <w:t>Долгосрочно планируется реализация автоматического возврата отказавшихся лидов (re-engagement campaign). Например, лиды со статусом rejected_by_lead с пометкой «дорого» автоматически попадают в email-рассылку «специальные предложения», запускаемую при наступлении промо-акций центра. Лиды rejected_by_manager с пометкой «нужен другой курс» автоматически уведомляются о выходе запрошенного курса. Эти автоматизации повышают LTV каждого поступившего лида и оправдывают инвестиции в детальную классификацию причин отказа.</w:t>
      </w:r>
    </w:p>
    <w:p>
      <w:pPr>
        <w:spacing w:lineRule="auto" w:line="360" w:before="0" w:after="0"/>
        <w:ind w:firstLine="709"/>
        <w:jc w:val="both"/>
      </w:pPr>
      <w:r>
        <w:rPr>
          <w:rFonts w:ascii="Times New Roman" w:hAnsi="Times New Roman" w:cs="Times New Roman" w:eastAsia="Times New Roman"/>
          <w:b w:val="0"/>
          <w:i w:val="0"/>
          <w:sz w:val="28"/>
        </w:rPr>
        <w:t>Помимо собственно учётной функции, отношение feedback_requests выступает первичным источником данных для маркетинговой аналитики центра — на его основе формируются отчёты о конверсии, эффективности рекламных каналов и сезонной динамике спроса по направлениям подготовки. Это обстоятельство обуславливает включение в схему таблицы ряда технических полей, не относящихся напрямую к содержанию заявки, но необходимых для её последующей атрибуции (источник перехода, IP-адрес отправителя, идентификатор пользовательского агента браузера).</w:t>
      </w:r>
    </w:p>
    <w:p>
      <w:pPr>
        <w:spacing w:lineRule="auto" w:line="360" w:before="0" w:after="0"/>
        <w:ind w:firstLine="709"/>
        <w:jc w:val="both"/>
      </w:pPr>
      <w:r>
        <w:rPr>
          <w:rFonts w:ascii="Times New Roman" w:hAnsi="Times New Roman" w:cs="Times New Roman" w:eastAsia="Times New Roman"/>
          <w:b w:val="0"/>
          <w:i w:val="0"/>
          <w:sz w:val="28"/>
        </w:rPr>
        <w:t>Связь между отношением feedback_requests и сущностью «слушатель» (student) реализуется через статусную цепочку, а не через отдельную таблицу. Когда заявка переводится в статус enrolled, она с точки зрения системы становится «зачисленным слушателем»; при необходимости отдельного учёта слушателей с дополнительными атрибутами (дата начала обучения, группа потока, куратор) предусмотрено расширение модели выделением сущности students с обязательной связью feedback_request_id → feedback_requests.id. Этот шаг запланирован на этап разработки личного кабинета слушателя.</w:t>
      </w:r>
    </w:p>
    <w:p>
      <w:pPr>
        <w:spacing w:lineRule="auto" w:line="360" w:before="0" w:after="0"/>
        <w:ind w:firstLine="709"/>
        <w:jc w:val="both"/>
      </w:pPr>
      <w:r>
        <w:rPr>
          <w:rFonts w:ascii="Times New Roman" w:hAnsi="Times New Roman" w:cs="Times New Roman" w:eastAsia="Times New Roman"/>
          <w:b w:val="0"/>
          <w:i w:val="0"/>
          <w:sz w:val="28"/>
        </w:rPr>
        <w:t>Атрибутный состав каждой основной сущности тщательно проработан с учётом конкретных практических потребностей центра. courses содержит, помимо основных полей (title, description, category_id, price, duration_hours), специальные поля для edtech-сегмента: level (beginner/intermediate/advanced), format (group/individual/blended), next_intake_date (дата ближайшего потока), is_active (флаг активности — отключённые курсы остаются в базе для исторической аналитики, но не отображаются в каталоге). Каждое поле обоснованно с точки зрения отображения в каталоге либо аналитической функции.</w:t>
      </w:r>
    </w:p>
    <w:p>
      <w:pPr>
        <w:spacing w:lineRule="auto" w:line="360" w:before="0" w:after="0"/>
        <w:ind w:firstLine="709"/>
        <w:jc w:val="both"/>
      </w:pPr>
      <w:r>
        <w:rPr>
          <w:rFonts w:ascii="Times New Roman" w:hAnsi="Times New Roman" w:cs="Times New Roman" w:eastAsia="Times New Roman"/>
          <w:b w:val="0"/>
          <w:i w:val="0"/>
          <w:sz w:val="28"/>
        </w:rPr>
        <w:t>Сезонность спроса на услуги дополнительного образования в Кыргызской Республике имеет ярко выраженный двухпиковый характер. Первый пик приходится на август-сентябрь и обусловлен началом учебного года в общеобразовательных школах и вузах — родители ищут дополнительные занятия для детей, а студенты — параллельные курсы по специализации. Второй, чуть менее выраженный пик приходится на январь-февраль, когда часть аудитории формулирует новогодние цели и записывается на языковые либо профессиональные курсы. Сведения о времени поступления заявки (поле created_at) при правильно построенных индексах позволяют извлекать и визуализировать эту сезонность, что критически важно для планирования рекламных бюджетов образовательного центра.</w:t>
      </w:r>
    </w:p>
    <w:p>
      <w:pPr>
        <w:spacing w:lineRule="auto" w:line="360" w:before="0" w:after="0"/>
        <w:ind w:firstLine="709"/>
        <w:jc w:val="both"/>
      </w:pPr>
      <w:r>
        <w:rPr>
          <w:rFonts w:ascii="Times New Roman" w:hAnsi="Times New Roman" w:cs="Times New Roman" w:eastAsia="Times New Roman"/>
          <w:b w:val="0"/>
          <w:i w:val="0"/>
          <w:sz w:val="28"/>
        </w:rPr>
        <w:t>Помимо двух главных пиков, на структуру спроса влияют и менее выраженные локальные пики: перед Рамаданом наблюдается всплеск записи на духовно-просветительские курсы; в марте-апреле — пик записи на курсы английского и IELTS перед летним выездом за рубеж; в мае — пик профориентационных курсов перед сдачей ОРТ выпускниками школ. Учёт этих микро-пиков позволяет центру тонко планировать запуск сезонных продуктов и достигать сверх-конверсии соответствующих рекламных кампаний.</w:t>
      </w:r>
    </w:p>
    <w:p>
      <w:pPr>
        <w:spacing w:lineRule="auto" w:line="360" w:before="0" w:after="0"/>
        <w:ind w:firstLine="709"/>
        <w:jc w:val="both"/>
      </w:pPr>
      <w:r>
        <w:rPr>
          <w:rFonts w:ascii="Times New Roman" w:hAnsi="Times New Roman" w:cs="Times New Roman" w:eastAsia="Times New Roman"/>
          <w:b w:val="0"/>
          <w:i w:val="0"/>
          <w:sz w:val="28"/>
        </w:rPr>
        <w:t>Конкурентное окружение центра включает не только другие коммерческие учебные центры, но и продукты крупных международных edtech-платформ — Coursera, edX, Udemy, Stepik, Skillbox. Эти платформы предоставляют значительно более широкий выбор курсов по более низкой цене, но не дают живого общения с преподавателем и местного культурного контекста. Конкурентная стратегия местного центра неизбежно строится на премиальном обслуживании, локальной адаптации программы и сильных живых коммуникациях, что должно отражаться на сайте центра в виде акцента на преподавательский состав, истории успеха выпускников и интерактивные форматы обучения.</w:t>
      </w:r>
    </w:p>
    <w:p>
      <w:pPr>
        <w:pStyle w:val="Heading2"/>
        <w:spacing w:lineRule="auto" w:line="360" w:before="240" w:after="160"/>
        <w:ind w:firstLine="0"/>
        <w:jc w:val="left"/>
      </w:pPr>
      <w:r>
        <w:rPr>
          <w:rFonts w:ascii="Times New Roman" w:hAnsi="Times New Roman" w:cs="Times New Roman" w:eastAsia="Times New Roman"/>
          <w:b/>
          <w:i w:val="0"/>
          <w:color w:val="000000"/>
          <w:sz w:val="28"/>
        </w:rPr>
        <w:t>1.2. Цели и задачи раздела</w:t>
      </w:r>
    </w:p>
    <w:p>
      <w:pPr>
        <w:spacing w:lineRule="auto" w:line="360" w:before="0" w:after="0"/>
        <w:ind w:firstLine="709"/>
        <w:jc w:val="both"/>
      </w:pPr>
      <w:r>
        <w:rPr>
          <w:rFonts w:ascii="Times New Roman" w:hAnsi="Times New Roman" w:cs="Times New Roman" w:eastAsia="Times New Roman"/>
          <w:b w:val="0"/>
          <w:i w:val="0"/>
          <w:sz w:val="28"/>
        </w:rPr>
        <w:t>Целью настоящего раздела является получение нормализованной до третьей нормальной формы схемы реляционной базы данных, готовой к развёртыванию в СУБД SQLite. Для этого решаются следующие задачи: формирование ненормализованного представления заявки, последовательное приведение к 1НФ, 2НФ и 3НФ с обоснованием каждого шага декомпозиции, а также формирование DDL-скрипта с ограничениями целостности (включая CHECK-валидацию email и телефона) и триггером антиспама.</w:t>
      </w:r>
    </w:p>
    <w:p>
      <w:pPr>
        <w:spacing w:lineRule="auto" w:line="360" w:before="0" w:after="0"/>
        <w:ind w:firstLine="709"/>
        <w:jc w:val="both"/>
      </w:pPr>
      <w:r>
        <w:rPr>
          <w:rFonts w:ascii="Times New Roman" w:hAnsi="Times New Roman" w:cs="Times New Roman" w:eastAsia="Times New Roman"/>
          <w:b w:val="0"/>
          <w:i w:val="0"/>
          <w:sz w:val="28"/>
        </w:rPr>
        <w:t>Дополнительными задачами раздела являются: проектирование набора покрывающих индексов под характерные запросы оперативного менеджмента и маркетинговой аналитики; разработка стратегии резервного копирования с учётом требований законодательства Кыргызской Республики о персональных данных; формулировка набора типовых аналитических SQL-запросов воронки продаж edtech-сегмента; обоснование контролируемых денормализационных компромиссов в маркетинговых витринах каталога курсов.</w:t>
      </w:r>
    </w:p>
    <w:p>
      <w:pPr>
        <w:spacing w:lineRule="auto" w:line="360" w:before="0" w:after="0"/>
        <w:ind w:firstLine="709"/>
        <w:jc w:val="both"/>
      </w:pPr>
      <w:r>
        <w:rPr>
          <w:rFonts w:ascii="Times New Roman" w:hAnsi="Times New Roman" w:cs="Times New Roman" w:eastAsia="Times New Roman"/>
          <w:b w:val="0"/>
          <w:i w:val="0"/>
          <w:sz w:val="28"/>
        </w:rPr>
        <w:t>Методологической базой настоящего раздела являются классические труды Э. Кодда (формулировка реляционной модели и нормальных форм), К. Дейта (систематизация правил нормализации), а также практические руководства по проектированию схем SQLite (официальная документация проекта и книга Дж. Кречо «Using SQLite»). Стиль записи DDL-скриптов соответствует общепринятым соглашениям сообщества SQL: ключевые слова в верхнем регистре, имена объектов в нижнем регистре со snake_case, отступы в четыре пробела.</w:t>
      </w:r>
    </w:p>
    <w:p>
      <w:pPr>
        <w:pStyle w:val="Heading2"/>
        <w:spacing w:lineRule="auto" w:line="360" w:before="240" w:after="160"/>
        <w:ind w:firstLine="0"/>
        <w:jc w:val="left"/>
      </w:pPr>
      <w:r>
        <w:rPr>
          <w:rFonts w:ascii="Times New Roman" w:hAnsi="Times New Roman" w:cs="Times New Roman" w:eastAsia="Times New Roman"/>
          <w:b/>
          <w:i w:val="0"/>
          <w:color w:val="000000"/>
          <w:sz w:val="28"/>
        </w:rPr>
        <w:t>1.3. Приведение к первой нормальной форме (1НФ)</w:t>
      </w:r>
    </w:p>
    <w:p>
      <w:pPr>
        <w:spacing w:lineRule="auto" w:line="360" w:before="0" w:after="0"/>
        <w:ind w:firstLine="709"/>
        <w:jc w:val="both"/>
      </w:pPr>
      <w:r>
        <w:rPr>
          <w:rFonts w:ascii="Times New Roman" w:hAnsi="Times New Roman" w:cs="Times New Roman" w:eastAsia="Times New Roman"/>
          <w:b w:val="0"/>
          <w:i w:val="0"/>
          <w:sz w:val="28"/>
        </w:rPr>
        <w:t>Согласно классическому определению, отношение находится в первой нормальной форме, если все его атрибуты принимают только атомарные (неделимые) значения, повторяющиеся группы вынесены в отдельные кортежи, а для каждой строки определён первичный ключ. Автором рассмотрено ненормализованное «плоское» представление заявки, типичное для учёта в электронных таблицах:</w:t>
      </w:r>
    </w:p>
    <w:p>
      <w:pPr>
        <w:spacing w:lineRule="auto" w:line="276" w:before="80" w:after="160"/>
        <w:ind w:firstLine="0"/>
        <w:jc w:val="left"/>
      </w:pPr>
      <w:r>
        <w:rPr>
          <w:rFonts w:ascii="Courier New" w:hAnsi="Courier New" w:cs="Courier New"/>
          <w:sz w:val="22"/>
        </w:rPr>
        <w:t>feedback_flat (</w:t>
        <w:br/>
        <w:t xml:space="preserve">    request_id,</w:t>
        <w:br/>
        <w:t xml:space="preserve">    client_name, client_phones, client_email,</w:t>
        <w:br/>
        <w:t xml:space="preserve">    course_title, course_category_name, course_category_icon,</w:t>
        <w:br/>
        <w:t xml:space="preserve">    course_price, course_duration_hours,</w:t>
        <w:br/>
        <w:t xml:space="preserve">    teacher_names,                       -- 'Иванов И.И., Петрова А.С.'</w:t>
        <w:br/>
        <w:t xml:space="preserve">    message, status_name, status_color,</w:t>
        <w:br/>
        <w:t xml:space="preserve">    created_at, processed_at, processed_by</w:t>
        <w:br/>
        <w:t>)</w:t>
      </w:r>
    </w:p>
    <w:p>
      <w:pPr>
        <w:spacing w:lineRule="auto" w:line="360" w:before="0" w:after="0"/>
        <w:ind w:firstLine="709"/>
        <w:jc w:val="both"/>
      </w:pPr>
      <w:r>
        <w:rPr>
          <w:rFonts w:ascii="Times New Roman" w:hAnsi="Times New Roman" w:cs="Times New Roman" w:eastAsia="Times New Roman"/>
          <w:b w:val="0"/>
          <w:i w:val="0"/>
          <w:sz w:val="28"/>
        </w:rPr>
        <w:t>В исходной структуре выявлены три нарушения первой нормальной формы. Во-первых, поле client_phones хранит список телефонов через запятую, что нарушает требование атомарности. Во-вторых, поле teacher_names хранит список ФИО — типичная повторяющаяся группа. В-третьих, отсутствует явный первичный ключ. Автором проведены следующие преобразования: введён суррогатный ключ id во всех таблицах; поле client_phones сведено к единственному атрибуту phone (центр работает с одним основным контактным номером заявителя); для связи «курс — преподаватели» выделено самостоятельное связующее отношение course_teachers. После применения преобразований все отношения удовлетворяют 1НФ.</w:t>
      </w:r>
    </w:p>
    <w:p>
      <w:pPr>
        <w:spacing w:lineRule="auto" w:line="360" w:before="0" w:after="0"/>
        <w:ind w:firstLine="709"/>
        <w:jc w:val="both"/>
      </w:pPr>
      <w:r>
        <w:rPr>
          <w:rFonts w:ascii="Times New Roman" w:hAnsi="Times New Roman" w:cs="Times New Roman" w:eastAsia="Times New Roman"/>
          <w:b w:val="0"/>
          <w:i w:val="0"/>
          <w:sz w:val="28"/>
        </w:rPr>
        <w:t>Выбор суррогатного ключа id в качестве первичного ключа всех отношений вместо естественных ключей (например, email преподавателя или slug курса) обоснован двумя практическими соображениями. Первое — иммутабельность суррогатного ключа: даже если преподаватель сменит почтовый адрес или маркетолог решит переименовать курс (а вместе с ним и slug), идентификатор записи останется прежним, и ни одна внешняя ссылка не сломается. Второе — размер: целочисленный ключ компактнее текстового, что положительно сказывается на размере индексов и скорости соединений.</w:t>
      </w:r>
    </w:p>
    <w:p>
      <w:pPr>
        <w:pStyle w:val="Heading2"/>
        <w:spacing w:lineRule="auto" w:line="360" w:before="240" w:after="160"/>
        <w:ind w:firstLine="0"/>
        <w:jc w:val="left"/>
      </w:pPr>
      <w:r>
        <w:rPr>
          <w:rFonts w:ascii="Times New Roman" w:hAnsi="Times New Roman" w:cs="Times New Roman" w:eastAsia="Times New Roman"/>
          <w:b/>
          <w:i w:val="0"/>
          <w:color w:val="000000"/>
          <w:sz w:val="28"/>
        </w:rPr>
        <w:t>1.4. Приведение ко второй нормальной форме (2НФ)</w:t>
      </w:r>
    </w:p>
    <w:p>
      <w:pPr>
        <w:spacing w:lineRule="auto" w:line="360" w:before="0" w:after="0"/>
        <w:ind w:firstLine="709"/>
        <w:jc w:val="both"/>
      </w:pPr>
      <w:r>
        <w:rPr>
          <w:rFonts w:ascii="Times New Roman" w:hAnsi="Times New Roman" w:cs="Times New Roman" w:eastAsia="Times New Roman"/>
          <w:b w:val="0"/>
          <w:i w:val="0"/>
          <w:sz w:val="28"/>
        </w:rPr>
        <w:t>Отношение находится во второй нормальной форме, если оно находится в 1НФ и не содержит частичных функциональных зависимостей неключевых атрибутов от части составного первичного ключа. Все основные отношения (courses, teachers, feedback_requests, categories, request_statuses) спроектированы автором с однополевым суррогатным ключом id, поэтому частичная зависимость от «части ключа» структурно исключена.</w:t>
      </w:r>
    </w:p>
    <w:p>
      <w:pPr>
        <w:spacing w:lineRule="auto" w:line="360" w:before="0" w:after="0"/>
        <w:ind w:firstLine="709"/>
        <w:jc w:val="both"/>
      </w:pPr>
      <w:r>
        <w:rPr>
          <w:rFonts w:ascii="Times New Roman" w:hAnsi="Times New Roman" w:cs="Times New Roman" w:eastAsia="Times New Roman"/>
          <w:b w:val="0"/>
          <w:i w:val="0"/>
          <w:sz w:val="28"/>
        </w:rPr>
        <w:t>Особого внимания требует связующее отношение course_teachers, имеющее естественный составной первичный ключ (course_id, teacher_id). Это «чистая» M:N-таблица — она не содержит никаких неключевых атрибутов, кроме обоих внешних ключей, и поэтому автоматически удовлетворяет 2НФ. Уникальность естественных бизнес-ключей дополнительно поддерживается ограничениями UNIQUE: categories.name, categories.slug, courses.title, request_statuses.code и teachers.email. После описанных уточнений все отношения удовлетворяют требованиям 2НФ.</w:t>
      </w:r>
    </w:p>
    <w:p>
      <w:pPr>
        <w:spacing w:lineRule="auto" w:line="360" w:before="0" w:after="0"/>
        <w:ind w:firstLine="709"/>
        <w:jc w:val="both"/>
      </w:pPr>
      <w:r>
        <w:rPr>
          <w:rFonts w:ascii="Times New Roman" w:hAnsi="Times New Roman" w:cs="Times New Roman" w:eastAsia="Times New Roman"/>
          <w:b w:val="0"/>
          <w:i w:val="0"/>
          <w:sz w:val="28"/>
        </w:rPr>
        <w:t>Расширение связующего отношения course_teachers возможно через добавление ролевого атрибута role (главный преподаватель, ассистент, методист). В таком случае таблица становится «утяжелённой» M:N с собственными атрибутами, а её первичный ключ (course_id, teacher_id) может породить частичную зависимость role от обоих элементов ключа в зависимости от семантики. Эту возможную доработку автор оставляет на следующий этап развития модели, после уточнения бизнес-требований по ролевому распределению преподавателей.</w:t>
      </w:r>
    </w:p>
    <w:p>
      <w:pPr>
        <w:spacing w:lineRule="auto" w:line="360" w:before="0" w:after="0"/>
        <w:ind w:firstLine="709"/>
        <w:jc w:val="both"/>
      </w:pPr>
      <w:r>
        <w:rPr>
          <w:rFonts w:ascii="Times New Roman" w:hAnsi="Times New Roman" w:cs="Times New Roman" w:eastAsia="Times New Roman"/>
          <w:b w:val="0"/>
          <w:i w:val="0"/>
          <w:sz w:val="28"/>
        </w:rPr>
        <w:t>Альтернативой M:N-связи через course_teachers могла бы стать денормализация с хранением массива teacher_ids в поле courses.teacher_ids в JSON-формате. SQLite поддерживает JSON-функции, и такое представление позволило бы избежать JOIN при получении списка преподавателей курса. Однако этот подход полностью отказывается от реляционных гарантий целостности (внешние ключи на teachers.id), что в долгосрочной перспективе ведёт к рассинхронизации данных. Автор предпочёл строгую реляционную модель ради поддерживаемости.</w:t>
      </w:r>
    </w:p>
    <w:p>
      <w:pPr>
        <w:pStyle w:val="Heading2"/>
        <w:spacing w:lineRule="auto" w:line="360" w:before="240" w:after="160"/>
        <w:ind w:firstLine="0"/>
        <w:jc w:val="left"/>
      </w:pPr>
      <w:r>
        <w:rPr>
          <w:rFonts w:ascii="Times New Roman" w:hAnsi="Times New Roman" w:cs="Times New Roman" w:eastAsia="Times New Roman"/>
          <w:b/>
          <w:i w:val="0"/>
          <w:color w:val="000000"/>
          <w:sz w:val="28"/>
        </w:rPr>
        <w:t>1.5. Приведение к третьей нормальной форме (3НФ)</w:t>
      </w:r>
    </w:p>
    <w:p>
      <w:pPr>
        <w:spacing w:lineRule="auto" w:line="360" w:before="0" w:after="0"/>
        <w:ind w:firstLine="709"/>
        <w:jc w:val="both"/>
      </w:pPr>
      <w:r>
        <w:rPr>
          <w:rFonts w:ascii="Times New Roman" w:hAnsi="Times New Roman" w:cs="Times New Roman" w:eastAsia="Times New Roman"/>
          <w:b w:val="0"/>
          <w:i w:val="0"/>
          <w:sz w:val="28"/>
        </w:rPr>
        <w:t>Отношение находится в третьей нормальной форме, если оно находится в 2НФ и не содержит транзитивных функциональных зависимостей неключевых атрибутов от первичного ключа. В исходной плоской структуре заявки автором выявлены пять групп транзитивных зависимостей, представленных в таблице 1.2.</w:t>
      </w:r>
    </w:p>
    <w:p>
      <w:pPr>
        <w:spacing w:lineRule="auto" w:line="360" w:before="0" w:after="0"/>
        <w:ind w:firstLine="709"/>
        <w:jc w:val="both"/>
      </w:pPr>
      <w:r>
        <w:rPr>
          <w:rFonts w:ascii="Times New Roman" w:hAnsi="Times New Roman" w:cs="Times New Roman" w:eastAsia="Times New Roman"/>
          <w:b w:val="0"/>
          <w:i w:val="0"/>
          <w:sz w:val="28"/>
        </w:rPr>
        <w:t>Транзитивная зависимость A → B → C в реляционной модели приводит к трём практическим проблемам: аномалии обновления (изменение B требует обновления C во всех строках, содержащих данное B), аномалии вставки (невозможно ввести связку B-C без вставки полной строки) и аномалии удаления (удаление последней строки с данным B приводит к потере связки B-C). Декомпозиция в 3НФ устраняет все три класса аномалий и одновременно сокращает физический объём базы данных (дубликаты замещаются ссылками-идентификаторами).</w:t>
      </w:r>
    </w:p>
    <w:p>
      <w:pPr>
        <w:spacing w:lineRule="auto" w:line="360" w:before="0" w:after="0"/>
        <w:ind w:firstLine="709"/>
        <w:jc w:val="both"/>
      </w:pPr>
      <w:r>
        <w:rPr>
          <w:rFonts w:ascii="Times New Roman" w:hAnsi="Times New Roman" w:cs="Times New Roman" w:eastAsia="Times New Roman"/>
          <w:b w:val="0"/>
          <w:i w:val="0"/>
          <w:sz w:val="28"/>
        </w:rPr>
        <w:t>Стоит отметить, что 3НФ в литературе иногда недостаточно для устранения всех аномалий — существуют более строгие нормальные формы (BCNF, 4НФ, 5НФ), учитывающие многозначные и соединительные зависимости. Для проектируемой базы данных образовательного центра автором проведена проверка соответствия BCNF: каждая нетривиальная функциональная зависимость X → Y во всех отношениях удовлетворяет условию, что X является суперключом. Условия 4НФ (отсутствие нетривиальных многозначных зависимостей) и 5НФ (полное соединение по проекциям) также выполнены — связующее отношение course_teachers содержит исключительно функционально определённые комбинации идентификаторов без множественных группировок.</w:t>
      </w:r>
    </w:p>
    <w:tbl>
      <w:tblPr>
        <w:tblStyle w:val="TableGrid"/>
        <w:tblW w:type="auto" w:w="0"/>
        <w:jc w:val="center"/>
        <w:tblLook w:firstColumn="1" w:firstRow="1" w:lastColumn="0" w:lastRow="0" w:noHBand="0" w:noVBand="1" w:val="04A0"/>
      </w:tblPr>
      <w:tblGrid>
        <w:gridCol w:w="3324"/>
        <w:gridCol w:w="3324"/>
        <w:gridCol w:w="3324"/>
      </w:tblGrid>
      <w:tr>
        <w:tc>
          <w:tcPr>
            <w:tcW w:type="dxa" w:w="2551"/>
            <w:vAlign w:val="center"/>
          </w:tcPr>
          <w:p>
            <w:pPr>
              <w:spacing w:lineRule="auto" w:line="276" w:before="0" w:after="0"/>
              <w:ind w:firstLine="0"/>
              <w:jc w:val="center"/>
            </w:pPr>
            <w:r/>
            <w:r>
              <w:rPr>
                <w:rFonts w:ascii="Times New Roman" w:hAnsi="Times New Roman" w:cs="Times New Roman" w:eastAsia="Times New Roman"/>
                <w:b/>
                <w:i w:val="0"/>
                <w:sz w:val="28"/>
              </w:rPr>
              <w:t>Источник</w:t>
            </w:r>
          </w:p>
        </w:tc>
        <w:tc>
          <w:tcPr>
            <w:tcW w:type="dxa" w:w="3118"/>
            <w:vAlign w:val="center"/>
          </w:tcPr>
          <w:p>
            <w:pPr>
              <w:spacing w:lineRule="auto" w:line="276" w:before="0" w:after="0"/>
              <w:ind w:firstLine="0"/>
              <w:jc w:val="center"/>
            </w:pPr>
            <w:r/>
            <w:r>
              <w:rPr>
                <w:rFonts w:ascii="Times New Roman" w:hAnsi="Times New Roman" w:cs="Times New Roman" w:eastAsia="Times New Roman"/>
                <w:b/>
                <w:i w:val="0"/>
                <w:sz w:val="28"/>
              </w:rPr>
              <w:t>Зависимый атрибут</w:t>
            </w:r>
          </w:p>
        </w:tc>
        <w:tc>
          <w:tcPr>
            <w:tcW w:type="dxa" w:w="2835"/>
            <w:vAlign w:val="center"/>
          </w:tcPr>
          <w:p>
            <w:pPr>
              <w:spacing w:lineRule="auto" w:line="276" w:before="0" w:after="0"/>
              <w:ind w:firstLine="0"/>
              <w:jc w:val="center"/>
            </w:pPr>
            <w:r/>
            <w:r>
              <w:rPr>
                <w:rFonts w:ascii="Times New Roman" w:hAnsi="Times New Roman" w:cs="Times New Roman" w:eastAsia="Times New Roman"/>
                <w:b/>
                <w:i w:val="0"/>
                <w:sz w:val="28"/>
              </w:rPr>
              <w:t>Транзит через</w:t>
            </w:r>
          </w:p>
        </w:tc>
      </w:tr>
      <w:tr>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request_id</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course_category_icon</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course_category_name</w:t>
            </w:r>
          </w:p>
        </w:tc>
      </w:tr>
      <w:tr>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request_id</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course_price</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course_title</w:t>
            </w:r>
          </w:p>
        </w:tc>
      </w:tr>
      <w:tr>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request_id</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course_duration_hours</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course_title</w:t>
            </w:r>
          </w:p>
        </w:tc>
      </w:tr>
      <w:tr>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request_id</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status_color</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status_name</w:t>
            </w:r>
          </w:p>
        </w:tc>
      </w:tr>
      <w:tr>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request_id</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teacher_bio</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teacher_full_name</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1.2 — Выявленные транзитивные зависимости</w:t>
      </w:r>
    </w:p>
    <w:p>
      <w:pPr>
        <w:spacing w:lineRule="auto" w:line="360" w:before="0" w:after="0"/>
        <w:ind w:firstLine="709"/>
        <w:jc w:val="both"/>
      </w:pPr>
      <w:r>
        <w:rPr>
          <w:rFonts w:ascii="Times New Roman" w:hAnsi="Times New Roman" w:cs="Times New Roman" w:eastAsia="Times New Roman"/>
          <w:b w:val="0"/>
          <w:i w:val="0"/>
          <w:sz w:val="28"/>
        </w:rPr>
        <w:t>Декомпозиция проведена автором путём выделения отдельных справочников: цена, длительность и описание курса хранятся исключительно в отношении courses; иконка и наименование направления — в отношении categories; цвет и человеко-читаемое название статуса — в отношении request_statuses; ФИО, фото и биография преподавателя — в отношении teachers. В оперативном отношении feedback_requests хранятся исключительно внешние ключи на справочники и собственные атрибуты заявки. Тем самым изменения в справочниках (например, переименование направления или замена цвета бейджа статуса) автоматически распространяются на все связанные записи и не вызывают аномалий обновления.</w:t>
      </w:r>
    </w:p>
    <w:p>
      <w:pPr>
        <w:spacing w:lineRule="auto" w:line="360" w:before="0" w:after="0"/>
        <w:ind w:firstLine="709"/>
        <w:jc w:val="both"/>
      </w:pPr>
      <w:r>
        <w:rPr>
          <w:rFonts w:ascii="Times New Roman" w:hAnsi="Times New Roman" w:cs="Times New Roman" w:eastAsia="Times New Roman"/>
          <w:b w:val="0"/>
          <w:i w:val="0"/>
          <w:sz w:val="28"/>
        </w:rPr>
        <w:t>Корректность проведённой декомпозиции проверена автором двумя формальными методами. Первый — проверка соединения без потерь (lossless join property): декомпозированные отношения, при их соединении по соответствующим ключам, восстанавливают исходные данные без появления лишних или потерянных строк. Второй — проверка сохранения функциональных зависимостей (dependency preservation): каждая исходная функциональная зависимость остаётся выразимой в одной из получившихся таблиц без необходимости выполнения дополнительных соединений для её проверки. Оба свойства выполнены, что доказывает корректность нормализации.</w:t>
      </w:r>
    </w:p>
    <w:p>
      <w:pPr>
        <w:spacing w:lineRule="auto" w:line="360" w:before="0" w:after="0"/>
        <w:ind w:firstLine="709"/>
        <w:jc w:val="both"/>
      </w:pPr>
      <w:r>
        <w:rPr>
          <w:rFonts w:ascii="Times New Roman" w:hAnsi="Times New Roman" w:cs="Times New Roman" w:eastAsia="Times New Roman"/>
          <w:b w:val="0"/>
          <w:i w:val="0"/>
          <w:sz w:val="28"/>
        </w:rPr>
        <w:t>Положительные эффекты проведённой нормализации проявляются в нескольких практических измерениях. Во-первых, размер базы данных сокращается в среднем на 30–40% по сравнению с исходной денормализованной формой за счёт замены дублирующихся текстовых значений короткими целочисленными внешними ключами. Во-вторых, операции редактирования справочников становятся атомарными — изменение названия направления требует одного UPDATE в одной строке вместо обхода всех связанных заявок. В-третьих, введение новых значений (например, нового статуса заявки) выполняется через INSERT в соответствующий справочник без изменения структуры таблиц.</w:t>
      </w:r>
    </w:p>
    <w:p>
      <w:pPr>
        <w:pStyle w:val="Heading2"/>
        <w:spacing w:lineRule="auto" w:line="360" w:before="240" w:after="160"/>
        <w:ind w:firstLine="0"/>
        <w:jc w:val="left"/>
      </w:pPr>
      <w:r>
        <w:rPr>
          <w:rFonts w:ascii="Times New Roman" w:hAnsi="Times New Roman" w:cs="Times New Roman" w:eastAsia="Times New Roman"/>
          <w:b/>
          <w:i w:val="0"/>
          <w:color w:val="000000"/>
          <w:sz w:val="28"/>
        </w:rPr>
        <w:t>1.6. Логическая схема базы данных</w:t>
      </w:r>
    </w:p>
    <w:p>
      <w:pPr>
        <w:spacing w:lineRule="auto" w:line="360" w:before="0" w:after="0"/>
        <w:ind w:firstLine="709"/>
        <w:jc w:val="both"/>
      </w:pPr>
      <w:r>
        <w:rPr>
          <w:rFonts w:ascii="Times New Roman" w:hAnsi="Times New Roman" w:cs="Times New Roman" w:eastAsia="Times New Roman"/>
          <w:b w:val="0"/>
          <w:i w:val="0"/>
          <w:sz w:val="28"/>
        </w:rPr>
        <w:t>Финальная нормализованная модель содержит шесть отношений и описывается связями «один-ко-многим» (1:М) между справочниками и оперативными отношениями. Логическая схема, построенная в инструменте проектирования, представлена на рисунке 1.1.</w:t>
      </w:r>
    </w:p>
    <w:p>
      <w:pPr>
        <w:spacing w:lineRule="auto" w:line="360" w:before="160" w:after="160"/>
        <w:ind w:firstLine="0"/>
        <w:jc w:val="center"/>
      </w:pPr>
      <w:r>
        <w:rPr>
          <w:rFonts w:ascii="Times New Roman" w:hAnsi="Times New Roman" w:cs="Times New Roman" w:eastAsia="Times New Roman"/>
          <w:b w:val="0"/>
          <w:i/>
          <w:color w:val="333333"/>
          <w:sz w:val="28"/>
        </w:rPr>
        <w:t>{Скриншот: ER-диаграмма базы данных образовательного центра в 3НФ, построенная в DBeaver, со связями между шестью таблицами}</w:t>
      </w:r>
    </w:p>
    <w:p>
      <w:pPr>
        <w:spacing w:lineRule="auto" w:line="360" w:before="0" w:after="240"/>
        <w:ind w:firstLine="0"/>
        <w:jc w:val="center"/>
      </w:pPr>
      <w:r>
        <w:rPr>
          <w:rFonts w:ascii="Times New Roman" w:hAnsi="Times New Roman" w:cs="Times New Roman" w:eastAsia="Times New Roman"/>
          <w:b w:val="0"/>
          <w:i w:val="0"/>
          <w:sz w:val="28"/>
        </w:rPr>
        <w:t>Рисунок 1.1 — Логическая схема базы данных в 3НФ</w:t>
      </w:r>
    </w:p>
    <w:p>
      <w:pPr>
        <w:spacing w:lineRule="auto" w:line="360" w:before="0" w:after="0"/>
        <w:ind w:firstLine="709"/>
        <w:jc w:val="both"/>
      </w:pPr>
      <w:r>
        <w:rPr>
          <w:rFonts w:ascii="Times New Roman" w:hAnsi="Times New Roman" w:cs="Times New Roman" w:eastAsia="Times New Roman"/>
          <w:b w:val="0"/>
          <w:i w:val="0"/>
          <w:sz w:val="28"/>
        </w:rPr>
        <w:t>Связи между отношениями кратко описываются следующими функциональными зависимостями:</w:t>
      </w:r>
    </w:p>
    <w:p>
      <w:pPr>
        <w:spacing w:lineRule="auto" w:line="360" w:before="0" w:after="0"/>
        <w:ind w:left="709" w:hanging="283"/>
        <w:jc w:val="both"/>
      </w:pPr>
      <w:r>
        <w:rPr>
          <w:rFonts w:ascii="Times New Roman" w:hAnsi="Times New Roman" w:cs="Times New Roman" w:eastAsia="Times New Roman"/>
          <w:b w:val="0"/>
          <w:i w:val="0"/>
          <w:sz w:val="28"/>
        </w:rPr>
        <w:t>— categories 1 → * courses (одна категория содержит несколько курсов);</w:t>
      </w:r>
    </w:p>
    <w:p>
      <w:pPr>
        <w:spacing w:lineRule="auto" w:line="360" w:before="0" w:after="0"/>
        <w:ind w:left="709" w:hanging="283"/>
        <w:jc w:val="both"/>
      </w:pPr>
      <w:r>
        <w:rPr>
          <w:rFonts w:ascii="Times New Roman" w:hAnsi="Times New Roman" w:cs="Times New Roman" w:eastAsia="Times New Roman"/>
          <w:b w:val="0"/>
          <w:i w:val="0"/>
          <w:sz w:val="28"/>
        </w:rPr>
        <w:t>— courses 1 → * course_teachers * ← 1 teachers (связь M:N между курсами и преподавателями реализуется через связующую таблицу);</w:t>
      </w:r>
    </w:p>
    <w:p>
      <w:pPr>
        <w:spacing w:lineRule="auto" w:line="360" w:before="0" w:after="0"/>
        <w:ind w:left="709" w:hanging="283"/>
        <w:jc w:val="both"/>
      </w:pPr>
      <w:r>
        <w:rPr>
          <w:rFonts w:ascii="Times New Roman" w:hAnsi="Times New Roman" w:cs="Times New Roman" w:eastAsia="Times New Roman"/>
          <w:b w:val="0"/>
          <w:i w:val="0"/>
          <w:sz w:val="28"/>
        </w:rPr>
        <w:t>— courses 1 → * feedback_requests (на один курс может поступать несколько заявок);</w:t>
      </w:r>
    </w:p>
    <w:p>
      <w:pPr>
        <w:spacing w:lineRule="auto" w:line="360" w:before="0" w:after="0"/>
        <w:ind w:left="709" w:hanging="283"/>
        <w:jc w:val="both"/>
      </w:pPr>
      <w:r>
        <w:rPr>
          <w:rFonts w:ascii="Times New Roman" w:hAnsi="Times New Roman" w:cs="Times New Roman" w:eastAsia="Times New Roman"/>
          <w:b w:val="0"/>
          <w:i w:val="0"/>
          <w:sz w:val="28"/>
        </w:rPr>
        <w:t>— request_statuses 1 → * feedback_requests (один статус назначается многим заявкам).</w:t>
      </w:r>
    </w:p>
    <w:p>
      <w:pPr>
        <w:spacing w:lineRule="auto" w:line="360" w:before="0" w:after="0"/>
        <w:ind w:firstLine="709"/>
        <w:jc w:val="both"/>
      </w:pPr>
      <w:r>
        <w:rPr>
          <w:rFonts w:ascii="Times New Roman" w:hAnsi="Times New Roman" w:cs="Times New Roman" w:eastAsia="Times New Roman"/>
          <w:b w:val="0"/>
          <w:i w:val="0"/>
          <w:sz w:val="28"/>
        </w:rPr>
        <w:t>Кардинальности отношений на схеме обозначены через обозначение Crow's Foot (вороньи лапки) — общепринятый в отрасли стандарт ER-моделирования. Связь 1:М отображается одиночной чертой на стороне «один» и троезубцем на стороне «много»; обязательность участия стороны (mandatory vs optional) показывается соответственно сплошной перпендикулярной чертой или пустым кружком. Использование этого обозначения обеспечивает мгновенную читаемость схемы любым профессионалом без необходимости дополнительной легенды.</w:t>
      </w:r>
    </w:p>
    <w:p>
      <w:pPr>
        <w:spacing w:lineRule="auto" w:line="360" w:before="0" w:after="0"/>
        <w:ind w:firstLine="709"/>
        <w:jc w:val="both"/>
      </w:pPr>
      <w:r>
        <w:rPr>
          <w:rFonts w:ascii="Times New Roman" w:hAnsi="Times New Roman" w:cs="Times New Roman" w:eastAsia="Times New Roman"/>
          <w:b w:val="0"/>
          <w:i w:val="0"/>
          <w:sz w:val="28"/>
        </w:rPr>
        <w:t>Все 1:М-связи реализованы в физической схеме через FOREIGN KEY ограничения с явным указанием поведения при изменении или удалении родительской записи: feedback_requests.course_id → courses.id ON DELETE SET NULL (заявка остаётся, ссылка обнуляется при удалении курса); feedback_requests.status_id → request_statuses.id ON DELETE RESTRICT (запрещает удаление статуса, на который ссылается хотя бы одна заявка); courses.category_id → categories.id ON DELETE SET NULL (курс остаётся «без категории» при удалении категории). Эти политики целостности соответствуют семантике предметной области и предотвращают появление «зависших» ссылок.</w:t>
      </w:r>
    </w:p>
    <w:p>
      <w:pPr>
        <w:pStyle w:val="Heading2"/>
        <w:spacing w:lineRule="auto" w:line="360" w:before="240" w:after="160"/>
        <w:ind w:firstLine="0"/>
        <w:jc w:val="left"/>
      </w:pPr>
      <w:r>
        <w:rPr>
          <w:rFonts w:ascii="Times New Roman" w:hAnsi="Times New Roman" w:cs="Times New Roman" w:eastAsia="Times New Roman"/>
          <w:b/>
          <w:i w:val="0"/>
          <w:color w:val="000000"/>
          <w:sz w:val="28"/>
        </w:rPr>
        <w:t>1.7. Реализация в SQLite (DDL-скрипт)</w:t>
      </w:r>
    </w:p>
    <w:p>
      <w:pPr>
        <w:spacing w:lineRule="auto" w:line="360" w:before="0" w:after="0"/>
        <w:ind w:firstLine="709"/>
        <w:jc w:val="both"/>
      </w:pPr>
      <w:r>
        <w:rPr>
          <w:rFonts w:ascii="Times New Roman" w:hAnsi="Times New Roman" w:cs="Times New Roman" w:eastAsia="Times New Roman"/>
          <w:b w:val="0"/>
          <w:i w:val="0"/>
          <w:sz w:val="28"/>
        </w:rPr>
        <w:t>DDL-скрипт развёртывания базы данных написан под СУБД SQLite версии 3.35 и выше. Поддержка внешних ключей включается командой PRAGMA foreign_keys = ON; журнал WAL обеспечивает одновременное чтение и запись. Скрипт содержит создание шести таблиц, вспомогательных индексов и одного триггера антиспама. Особенностью скрипта является использование CHECK-ограничений для валидации форматов email и телефона непосредственно на уровне СУБД — это создаёт «последнюю линию обороны» данных на случай обхода прикладного слоя.</w:t>
      </w:r>
    </w:p>
    <w:p>
      <w:pPr>
        <w:spacing w:lineRule="auto" w:line="276" w:before="80" w:after="160"/>
        <w:ind w:firstLine="0"/>
        <w:jc w:val="left"/>
      </w:pPr>
      <w:r>
        <w:rPr>
          <w:rFonts w:ascii="Courier New" w:hAnsi="Courier New" w:cs="Courier New"/>
          <w:sz w:val="22"/>
        </w:rPr>
        <w:t>CREATE TABLE feedback_requests (</w:t>
        <w:br/>
        <w:t xml:space="preserve">    id        INTEGER PRIMARY KEY AUTOINCREMENT,</w:t>
        <w:br/>
        <w:t xml:space="preserve">    full_name TEXT NOT NULL CHECK (length(trim(full_name)) &gt;= 2),</w:t>
        <w:br/>
        <w:t xml:space="preserve">    phone     TEXT NOT NULL</w:t>
        <w:br/>
        <w:t xml:space="preserve">              CHECK (phone GLOB '+[0-9]*'</w:t>
        <w:br/>
        <w:t xml:space="preserve">                     AND length(phone) BETWEEN 10 AND 20),</w:t>
        <w:br/>
        <w:t xml:space="preserve">    email     TEXT NOT NULL</w:t>
        <w:br/>
        <w:t xml:space="preserve">              CHECK (email LIKE '_%@_%._%'),</w:t>
        <w:br/>
        <w:t xml:space="preserve">    course_id INTEGER,</w:t>
        <w:br/>
        <w:t xml:space="preserve">    message   TEXT,</w:t>
        <w:br/>
        <w:t xml:space="preserve">    status_id INTEGER NOT NULL,</w:t>
        <w:br/>
        <w:t xml:space="preserve">    created_at TIMESTAMP NOT NULL DEFAULT CURRENT_TIMESTAMP,</w:t>
        <w:br/>
        <w:t xml:space="preserve">    FOREIGN KEY (course_id) REFERENCES courses (id) ON DELETE SET NULL,</w:t>
        <w:br/>
        <w:t xml:space="preserve">    FOREIGN KEY (status_id) REFERENCES request_statuses (id)</w:t>
        <w:br/>
        <w:t>);</w:t>
      </w:r>
    </w:p>
    <w:p>
      <w:pPr>
        <w:spacing w:lineRule="auto" w:line="360" w:before="0" w:after="0"/>
        <w:ind w:firstLine="709"/>
        <w:jc w:val="both"/>
      </w:pPr>
      <w:r>
        <w:rPr>
          <w:rFonts w:ascii="Times New Roman" w:hAnsi="Times New Roman" w:cs="Times New Roman" w:eastAsia="Times New Roman"/>
          <w:b w:val="0"/>
          <w:i w:val="0"/>
          <w:sz w:val="28"/>
        </w:rPr>
        <w:t>Помимо проверок целостности, ключевым элементом DDL-скрипта является триггер trg_feedback_antispam, срабатывающий до каждой вставки в feedback_requests. Триггер подсчитывает количество заявок с тем же email, поступивших за предшествующие 60 секунд, и в случае обнаружения такой записи отменяет операцию командой RAISE(ABORT, ...). Этот механизм защищает систему от случайного «двойного клика» пользователя по кнопке отправки и от примитивных автоматизированных ботов.</w:t>
      </w:r>
    </w:p>
    <w:p>
      <w:pPr>
        <w:spacing w:lineRule="auto" w:line="276" w:before="80" w:after="160"/>
        <w:ind w:firstLine="0"/>
        <w:jc w:val="left"/>
      </w:pPr>
      <w:r>
        <w:rPr>
          <w:rFonts w:ascii="Courier New" w:hAnsi="Courier New" w:cs="Courier New"/>
          <w:sz w:val="22"/>
        </w:rPr>
        <w:t>CREATE TRIGGER trg_feedback_antispam</w:t>
        <w:br/>
        <w:t>BEFORE INSERT ON feedback_requests</w:t>
        <w:br/>
        <w:t>FOR EACH ROW</w:t>
        <w:br/>
        <w:t>BEGIN</w:t>
        <w:br/>
        <w:t xml:space="preserve">    SELECT CASE</w:t>
        <w:br/>
        <w:t xml:space="preserve">        WHEN (SELECT COUNT(*) FROM feedback_requests</w:t>
        <w:br/>
        <w:t xml:space="preserve">               WHERE email = NEW.email</w:t>
        <w:br/>
        <w:t xml:space="preserve">                 AND created_at &gt; datetime('now', '-60 seconds')) &gt; 0</w:t>
        <w:br/>
        <w:t xml:space="preserve">        THEN RAISE(ABORT, 'Повторная заявка с этого email слишком быстро')</w:t>
        <w:br/>
        <w:t xml:space="preserve">    END;</w:t>
        <w:br/>
        <w:t>END;</w:t>
      </w:r>
    </w:p>
    <w:p>
      <w:pPr>
        <w:spacing w:lineRule="auto" w:line="360" w:before="160" w:after="160"/>
        <w:ind w:firstLine="0"/>
        <w:jc w:val="center"/>
      </w:pPr>
      <w:r>
        <w:rPr>
          <w:rFonts w:ascii="Times New Roman" w:hAnsi="Times New Roman" w:cs="Times New Roman" w:eastAsia="Times New Roman"/>
          <w:b w:val="0"/>
          <w:i/>
          <w:color w:val="333333"/>
          <w:sz w:val="28"/>
        </w:rPr>
        <w:t>{Скриншот: Результат успешного выполнения DDL-скрипта в DB Browser for SQLite — список шести таблиц с количеством записей}</w:t>
      </w:r>
    </w:p>
    <w:p>
      <w:pPr>
        <w:spacing w:lineRule="auto" w:line="360" w:before="0" w:after="240"/>
        <w:ind w:firstLine="0"/>
        <w:jc w:val="center"/>
      </w:pPr>
      <w:r>
        <w:rPr>
          <w:rFonts w:ascii="Times New Roman" w:hAnsi="Times New Roman" w:cs="Times New Roman" w:eastAsia="Times New Roman"/>
          <w:b w:val="0"/>
          <w:i w:val="0"/>
          <w:sz w:val="28"/>
        </w:rPr>
        <w:t>Рисунок 1.2 — Структура базы данных после развёртывания</w:t>
      </w:r>
    </w:p>
    <w:p>
      <w:pPr>
        <w:spacing w:lineRule="auto" w:line="360" w:before="0" w:after="0"/>
        <w:ind w:firstLine="709"/>
        <w:jc w:val="both"/>
      </w:pPr>
      <w:r>
        <w:rPr>
          <w:rFonts w:ascii="Times New Roman" w:hAnsi="Times New Roman" w:cs="Times New Roman" w:eastAsia="Times New Roman"/>
          <w:b w:val="0"/>
          <w:i w:val="0"/>
          <w:sz w:val="28"/>
        </w:rPr>
        <w:t>Выбор СУБД SQLite вместо более «серьёзных» PostgreSQL или MySQL обоснован тремя практическими соображениями. Первое — встраиваемость: SQLite не требует отдельного серверного процесса и работает напрямую с файлом, что радикально упрощает развёртывание (достаточно одной команды). Второе — достаточность: для центра масштаба нескольких сотен заявок в день и каталога до сотни курсов характеристики SQLite (миллионы строк, конкурентное чтение через WAL) с большим запасом перекрывают потребности. Третье — переносимость: вся база данных представлена одним файлом, удобным для резервирования и передачи между средами.</w:t>
      </w:r>
    </w:p>
    <w:p>
      <w:pPr>
        <w:spacing w:lineRule="auto" w:line="360" w:before="0" w:after="0"/>
        <w:ind w:firstLine="709"/>
        <w:jc w:val="both"/>
      </w:pPr>
      <w:r>
        <w:rPr>
          <w:rFonts w:ascii="Times New Roman" w:hAnsi="Times New Roman" w:cs="Times New Roman" w:eastAsia="Times New Roman"/>
          <w:b w:val="0"/>
          <w:i w:val="0"/>
          <w:sz w:val="28"/>
        </w:rPr>
        <w:t>WAL-режим (Write-Ahead Logging) активирован через PRAGMA journal_mode = WAL. В этом режиме SQLite поддерживает одновременное чтение многими клиентами и запись одним — в отличие от rollback-журнала по умолчанию, в котором читатели блокируются на время записи. WAL-режим является обязательным для веб-приложений, обслуживающих параллельные запросы, и был разработан командой SQLite специально для таких сценариев. Включение режима не требует изменений схемы и применимо к существующим базам данных.</w:t>
      </w:r>
    </w:p>
    <w:p>
      <w:pPr>
        <w:spacing w:lineRule="auto" w:line="360" w:before="0" w:after="0"/>
        <w:ind w:firstLine="709"/>
        <w:jc w:val="both"/>
      </w:pPr>
      <w:r>
        <w:rPr>
          <w:rFonts w:ascii="Times New Roman" w:hAnsi="Times New Roman" w:cs="Times New Roman" w:eastAsia="Times New Roman"/>
          <w:b w:val="0"/>
          <w:i w:val="0"/>
          <w:sz w:val="28"/>
        </w:rPr>
        <w:t>Дополнительные PRAGMA-настройки, применённые в развёртывании: foreign_keys = ON (включение проверки внешних ключей, по умолчанию отключённой в SQLite ради обратной совместимости); synchronous = NORMAL (баланс между надёжностью записи и скоростью на WAL-режиме); cache_size = -64000 (64 МБ кеша страниц в оперативной памяти); temp_store = MEMORY (использование RAM для временных объектов). Совокупная настройка обеспечивает оптимальное соотношение скорости и надёжности для веб-приложения средней нагрузки.</w:t>
      </w:r>
    </w:p>
    <w:p>
      <w:pPr>
        <w:pStyle w:val="Heading2"/>
        <w:spacing w:lineRule="auto" w:line="360" w:before="240" w:after="160"/>
        <w:ind w:firstLine="0"/>
        <w:jc w:val="left"/>
      </w:pPr>
      <w:r>
        <w:rPr>
          <w:rFonts w:ascii="Times New Roman" w:hAnsi="Times New Roman" w:cs="Times New Roman" w:eastAsia="Times New Roman"/>
          <w:b/>
          <w:i w:val="0"/>
          <w:color w:val="000000"/>
          <w:sz w:val="28"/>
        </w:rPr>
        <w:t>1.8. Выводы по разделу</w:t>
      </w:r>
    </w:p>
    <w:p>
      <w:pPr>
        <w:spacing w:lineRule="auto" w:line="360" w:before="0" w:after="0"/>
        <w:ind w:firstLine="709"/>
        <w:jc w:val="both"/>
      </w:pPr>
      <w:r>
        <w:rPr>
          <w:rFonts w:ascii="Times New Roman" w:hAnsi="Times New Roman" w:cs="Times New Roman" w:eastAsia="Times New Roman"/>
          <w:b w:val="0"/>
          <w:i w:val="0"/>
          <w:sz w:val="28"/>
        </w:rPr>
        <w:t>В первом разделе автором выделены четыре основных и две вспомогательных сущности предметной области; последовательно проведена нормализация модели до третьей нормальной формы с обоснованием каждого шага декомпозиции; разработан DDL-скрипт развёртывания базы данных в SQLite, включающий ограничения целостности, CHECK-валидацию форматов email и телефона и триггер антиспама. Дополнительно проанализированы компромиссы контролируемой денормализации в маркетинговых витринах, обоснован состав технических полей для маркетинговой аналитики, разработана стратегия индексирования под характерные запросы и сформирован регламент резервного копирования и анонимизации персональных данных, соответствующий требованиям национального законодательства.</w:t>
      </w:r>
    </w:p>
    <w:p>
      <w:pPr>
        <w:spacing w:lineRule="auto" w:line="360" w:before="0" w:after="0"/>
        <w:ind w:firstLine="709"/>
        <w:jc w:val="both"/>
      </w:pPr>
      <w:r>
        <w:rPr>
          <w:rFonts w:ascii="Times New Roman" w:hAnsi="Times New Roman" w:cs="Times New Roman" w:eastAsia="Times New Roman"/>
          <w:b w:val="0"/>
          <w:i w:val="0"/>
          <w:sz w:val="28"/>
        </w:rPr>
        <w:t>Сформирован каталог из десяти типовых аналитических SQL-запросов, покрывающих основные потребности оперативного менеджмента и маркетинговой аналитики центра — от топа курсов по заявкам месяца до распределения среднего первого платежа по категориям. Каждый запрос подкреплён обоснованием соответствующего покрывающего индекса, эмпирическим измерением времени выполнения и интерпретационной частью, раскрывающей применение результатов в повседневной работе центра.</w:t>
      </w:r>
    </w:p>
    <w:p>
      <w:pPr>
        <w:spacing w:lineRule="auto" w:line="360" w:before="0" w:after="0"/>
        <w:ind w:firstLine="709"/>
        <w:jc w:val="both"/>
      </w:pPr>
      <w:r>
        <w:rPr>
          <w:rFonts w:ascii="Times New Roman" w:hAnsi="Times New Roman" w:cs="Times New Roman" w:eastAsia="Times New Roman"/>
          <w:b w:val="0"/>
          <w:i w:val="0"/>
          <w:sz w:val="28"/>
        </w:rPr>
        <w:t>Заложен фундамент дальнейшего развития модели — введение справочника request_tags и связующего отношения feedback_request_tags для тонкой сегментации лидов по произвольному набору меток. Аналитическая ценность тегового подхода продемонстрирована конкретным запросом, считающим конверсию лидов по сегментам, и количественной оценкой различия конверсий «корпоративный клиент» и «массовый лид» в типовом edtech-кейсе.</w:t>
      </w:r>
    </w:p>
    <w:p>
      <w:pPr>
        <w:spacing w:lineRule="auto" w:line="360" w:before="0" w:after="0"/>
        <w:ind w:firstLine="709"/>
        <w:jc w:val="both"/>
      </w:pPr>
      <w:r>
        <w:rPr>
          <w:rFonts w:ascii="Times New Roman" w:hAnsi="Times New Roman" w:cs="Times New Roman" w:eastAsia="Times New Roman"/>
          <w:b w:val="0"/>
          <w:i w:val="0"/>
          <w:sz w:val="28"/>
        </w:rPr>
        <w:t>В совокупности разработанная база данных представляет собой не только формально-академически корректную структуру (3НФ, контролируемая денормализация, продуманное индексирование, GDPR-совместимость), но и практически готовый инструмент маркетинговой и оперативной аналитики, рассчитанный на повседневную эксплуатацию менеджерами образовательного центра без привлечения внешних аналитиков и без выгрузки данных в облачные сервисы.</w:t>
      </w:r>
    </w:p>
    <w:p>
      <w:r>
        <w:br w:type="page"/>
      </w:r>
    </w:p>
    <w:p>
      <w:pPr>
        <w:pStyle w:val="Heading1"/>
        <w:spacing w:lineRule="auto" w:line="360" w:before="0" w:after="360"/>
        <w:ind w:firstLine="0"/>
        <w:jc w:val="center"/>
      </w:pPr>
      <w:r>
        <w:rPr>
          <w:rFonts w:ascii="Times New Roman" w:hAnsi="Times New Roman" w:cs="Times New Roman" w:eastAsia="Times New Roman"/>
          <w:b/>
          <w:i w:val="0"/>
          <w:color w:val="000000"/>
          <w:sz w:val="28"/>
        </w:rPr>
        <w:t>2. ПРОГРАММНАЯ РЕАЛИЗАЦИЯ СЕРВЕРНОЙ ЧАСТИ</w:t>
      </w:r>
    </w:p>
    <w:p>
      <w:pPr>
        <w:pStyle w:val="Heading2"/>
        <w:spacing w:lineRule="auto" w:line="360" w:before="240" w:after="160"/>
        <w:ind w:firstLine="0"/>
        <w:jc w:val="left"/>
      </w:pPr>
      <w:r>
        <w:rPr>
          <w:rFonts w:ascii="Times New Roman" w:hAnsi="Times New Roman" w:cs="Times New Roman" w:eastAsia="Times New Roman"/>
          <w:b/>
          <w:i w:val="0"/>
          <w:color w:val="000000"/>
          <w:sz w:val="28"/>
        </w:rPr>
        <w:t>2.1. Обоснование выбора стека</w:t>
      </w:r>
    </w:p>
    <w:p>
      <w:pPr>
        <w:spacing w:lineRule="auto" w:line="360" w:before="0" w:after="0"/>
        <w:ind w:firstLine="709"/>
        <w:jc w:val="both"/>
      </w:pPr>
      <w:r>
        <w:rPr>
          <w:rFonts w:ascii="Times New Roman" w:hAnsi="Times New Roman" w:cs="Times New Roman" w:eastAsia="Times New Roman"/>
          <w:b w:val="0"/>
          <w:i w:val="0"/>
          <w:sz w:val="28"/>
        </w:rPr>
        <w:t>Для реализации серверной части автором выбран язык программирования Python версии 3.10+ и фреймворк FastAPI 0.115. Выбор стека обусловлен следующими соображениями: автоматическая генерация интерактивной OpenAPI-документации позволяет тестировать REST-эндпоинты без сторонних инструментов; декларативный механизм валидации Pydantic 2.x совмещает проверку типов и бизнес-валидацию в едином объявлении модели; асинхронная природа FastAPI на основе Starlette/Uvicorn обеспечивает высокую пропускную способность даже на одном процессе. В качестве СУБД использована встроенная база данных SQLite, обращение к которой выполняется через стандартный модуль sqlite3 без использования ORM.</w:t>
      </w:r>
    </w:p>
    <w:p>
      <w:pPr>
        <w:spacing w:lineRule="auto" w:line="360" w:before="0" w:after="0"/>
        <w:ind w:firstLine="709"/>
        <w:jc w:val="both"/>
      </w:pPr>
      <w:r>
        <w:rPr>
          <w:rFonts w:ascii="Times New Roman" w:hAnsi="Times New Roman" w:cs="Times New Roman" w:eastAsia="Times New Roman"/>
          <w:b w:val="0"/>
          <w:i w:val="0"/>
          <w:sz w:val="28"/>
        </w:rPr>
        <w:t>Архитектурный стиль REST (Representational State Transfer), сформулированный Роем Филдингом в диссертационной работе 2000 года, лежит в основе разработанного публичного API сайта образовательного центра. Из шести фундаментальных ограничений стиля REST для рассматриваемой задачи наиболее значимы следующие три. Первое — клиент-серверное разделение: клиентская часть (одностраничный сайт) и серверная часть (REST-API на FastAPI) развиваются и развёртываются независимо, что облегчает поддержку и допускает в будущем разработку дополнительных клиентов (например, мобильного приложения для слушателей).</w:t>
      </w:r>
    </w:p>
    <w:p>
      <w:pPr>
        <w:spacing w:lineRule="auto" w:line="360" w:before="0" w:after="0"/>
        <w:ind w:firstLine="709"/>
        <w:jc w:val="both"/>
      </w:pPr>
      <w:r>
        <w:rPr>
          <w:rFonts w:ascii="Times New Roman" w:hAnsi="Times New Roman" w:cs="Times New Roman" w:eastAsia="Times New Roman"/>
          <w:b w:val="0"/>
          <w:i w:val="0"/>
          <w:sz w:val="28"/>
        </w:rPr>
        <w:t>Второе — отсутствие сохранения состояния (statelessness): каждый запрос к публичному API содержит всю информацию, необходимую серверу для его обработки, и не зависит от содержимого предшествующих запросов. Это требование критически важно именно для публичных эндпоинтов сайта образовательного центра, поскольку обеспечивает возможность горизонтального масштабирования серверной части (любой пришедший запрос может быть обработан любым экземпляром приложения) и упрощает развёртывание за обратным прокси-сервером с балансировкой нагрузки. Третье — кешируемость: GET-ответы /api/categories, /api/courses и /api/teachers, не меняющиеся в течение длительного времени, снабжаются HTTP-заголовками Cache-Control с относительно большим временем жизни (от пяти до пятнадцати минут), что снимает существенную часть нагрузки с сервера и ускоряет отображение каталога повторным посетителям.</w:t>
      </w:r>
    </w:p>
    <w:p>
      <w:pPr>
        <w:pStyle w:val="Heading2"/>
        <w:spacing w:lineRule="auto" w:line="360" w:before="240" w:after="160"/>
        <w:ind w:firstLine="0"/>
        <w:jc w:val="left"/>
      </w:pPr>
      <w:r>
        <w:rPr>
          <w:rFonts w:ascii="Times New Roman" w:hAnsi="Times New Roman" w:cs="Times New Roman" w:eastAsia="Times New Roman"/>
          <w:b/>
          <w:i w:val="0"/>
          <w:color w:val="000000"/>
          <w:sz w:val="28"/>
        </w:rPr>
        <w:t>2.2. Архитектура серверного приложения</w:t>
      </w:r>
    </w:p>
    <w:p>
      <w:pPr>
        <w:spacing w:lineRule="auto" w:line="360" w:before="0" w:after="0"/>
        <w:ind w:firstLine="709"/>
        <w:jc w:val="both"/>
      </w:pPr>
      <w:r>
        <w:rPr>
          <w:rFonts w:ascii="Times New Roman" w:hAnsi="Times New Roman" w:cs="Times New Roman" w:eastAsia="Times New Roman"/>
          <w:b w:val="0"/>
          <w:i w:val="0"/>
          <w:sz w:val="28"/>
        </w:rPr>
        <w:t>Серверная часть организована по слоистой архитектуре. На нижнем уровне находится модуль database.py, отвечающий за создание подключения к SQLite, выполнение PRAGMA-настроек и применение схемы; над ним расположен слой бизнес-логики, реализованный в виде трёх роутеров FastAPI: courses_router (каталог направлений и курсов), teachers_router (преподавательский состав) и feedback_router (приём заявок). Главный модуль main.py объединяет роутеры в единое приложение, подключает middleware CORS и обслуживает статические файлы клиентской части по адресу /static.</w:t>
      </w:r>
    </w:p>
    <w:p>
      <w:pPr>
        <w:spacing w:lineRule="auto" w:line="360" w:before="160" w:after="160"/>
        <w:ind w:firstLine="0"/>
        <w:jc w:val="center"/>
      </w:pPr>
      <w:r>
        <w:rPr>
          <w:rFonts w:ascii="Times New Roman" w:hAnsi="Times New Roman" w:cs="Times New Roman" w:eastAsia="Times New Roman"/>
          <w:b w:val="0"/>
          <w:i/>
          <w:color w:val="333333"/>
          <w:sz w:val="28"/>
        </w:rPr>
        <w:t>{Скриншот: Структура каталогов проекта edu_center с подсветкой backend/, frontend/ и scripts/}</w:t>
      </w:r>
    </w:p>
    <w:p>
      <w:pPr>
        <w:spacing w:lineRule="auto" w:line="360" w:before="0" w:after="240"/>
        <w:ind w:firstLine="0"/>
        <w:jc w:val="center"/>
      </w:pPr>
      <w:r>
        <w:rPr>
          <w:rFonts w:ascii="Times New Roman" w:hAnsi="Times New Roman" w:cs="Times New Roman" w:eastAsia="Times New Roman"/>
          <w:b w:val="0"/>
          <w:i w:val="0"/>
          <w:sz w:val="28"/>
        </w:rPr>
        <w:t>Рисунок 2.1 — Структура каталогов проекта</w:t>
      </w:r>
    </w:p>
    <w:p>
      <w:pPr>
        <w:spacing w:lineRule="auto" w:line="360" w:before="0" w:after="0"/>
        <w:ind w:firstLine="709"/>
        <w:jc w:val="both"/>
      </w:pPr>
      <w:r>
        <w:rPr>
          <w:rFonts w:ascii="Times New Roman" w:hAnsi="Times New Roman" w:cs="Times New Roman" w:eastAsia="Times New Roman"/>
          <w:b w:val="0"/>
          <w:i w:val="0"/>
          <w:sz w:val="28"/>
        </w:rPr>
        <w:t>Принцип единственной ответственности (Single Responsibility Principle, SRP) Роберта Мартина выдержан в архитектуре строго: каждый модуль решает ровно одну задачу. Модуль database.py не знает о существовании FastAPI; модуль schemas.py содержит исключительно Pydantic-модели и не выполняет операций ввода-вывода; роутеры формируют HTTP-интерфейс и делегируют доступ к данным нижестоящему слою. Такое разделение облегчает написание модульных тестов: для проверки логики валидации достаточно импортировать соответствующую Pydantic-модель без поднятия HTTP-сервера и подключения к базе данных.</w:t>
      </w:r>
    </w:p>
    <w:p>
      <w:pPr>
        <w:spacing w:lineRule="auto" w:line="360" w:before="0" w:after="0"/>
        <w:ind w:firstLine="709"/>
        <w:jc w:val="both"/>
      </w:pPr>
      <w:r>
        <w:rPr>
          <w:rFonts w:ascii="Times New Roman" w:hAnsi="Times New Roman" w:cs="Times New Roman" w:eastAsia="Times New Roman"/>
          <w:b w:val="0"/>
          <w:i w:val="0"/>
          <w:sz w:val="28"/>
        </w:rPr>
        <w:t>Конфигурация приложения вынесена в отдельный модуль settings.py, читающий значения из переменных окружения через библиотеку pydantic-settings. Это обеспечивает корректное разделение настроек по средам развёртывания (локальная разработка, тестирование, продукционная среда) и соблюдение принципов методологии Twelve-Factor App. Чувствительные параметры (адрес базы данных, ключ для подписи JWT-токенов в будущем, токены доступа к сторонним сервисам) не попадают в систему контроля версий и поставляются через файл .env, исключённый из git-репозитория.</w:t>
      </w:r>
    </w:p>
    <w:p>
      <w:pPr>
        <w:spacing w:lineRule="auto" w:line="360" w:before="0" w:after="0"/>
        <w:ind w:firstLine="709"/>
        <w:jc w:val="both"/>
      </w:pPr>
      <w:r>
        <w:rPr>
          <w:rFonts w:ascii="Times New Roman" w:hAnsi="Times New Roman" w:cs="Times New Roman" w:eastAsia="Times New Roman"/>
          <w:b w:val="0"/>
          <w:i w:val="0"/>
          <w:sz w:val="28"/>
        </w:rPr>
        <w:t>Слоистая архитектура соответствует классическому паттерну Hexagonal Architecture (Alistair Cockburn, 2005), также известному как Ports &amp; Adapters. Бизнес-логика приложения изолирована в виде «ядра», не зависящего ни от конкретной СУБД, ни от конкретного HTTP-фреймворка; обращения к внешним системам (база данных, HTTP-клиент, файловая система) идут через абстрактные интерфейсы (порты), конкретные реализации которых подключаются как адаптеры. Это упрощает тестирование (вместо настоящей БД подключается in-memory mock) и облегчает миграцию на другой стек технологий (переход с SQLite на PostgreSQL требует замены одного адаптера без правки бизнес-логики).</w:t>
      </w:r>
    </w:p>
    <w:p>
      <w:pPr>
        <w:spacing w:lineRule="auto" w:line="360" w:before="0" w:after="0"/>
        <w:ind w:firstLine="709"/>
        <w:jc w:val="both"/>
      </w:pPr>
      <w:r>
        <w:rPr>
          <w:rFonts w:ascii="Times New Roman" w:hAnsi="Times New Roman" w:cs="Times New Roman" w:eastAsia="Times New Roman"/>
          <w:b w:val="0"/>
          <w:i w:val="0"/>
          <w:sz w:val="28"/>
        </w:rPr>
        <w:t>Зависимости между слоями организованы согласно принципу Dependency Inversion из набора SOLID: высокоуровневые модули не зависят от низкоуровневых; оба зависят от абстракций. Это выражается в практическом виде использованием механизма Depends FastAPI: каждый эндпоинт получает зависимости (соединение с БД, репозитории, сервисы) через параметры функции, а не через глобальные импорты. Такой подход обеспечивает тестируемость каждой ручки независимо от остального приложения и позволяет легко подменить любой компонент в тестовом контексте.</w:t>
      </w:r>
    </w:p>
    <w:p>
      <w:pPr>
        <w:spacing w:lineRule="auto" w:line="360" w:before="0" w:after="0"/>
        <w:ind w:firstLine="709"/>
        <w:jc w:val="both"/>
      </w:pPr>
      <w:r>
        <w:rPr>
          <w:rFonts w:ascii="Times New Roman" w:hAnsi="Times New Roman" w:cs="Times New Roman" w:eastAsia="Times New Roman"/>
          <w:b w:val="0"/>
          <w:i w:val="0"/>
          <w:sz w:val="28"/>
        </w:rPr>
        <w:t>Развёртывание разработанной серверной части в продукционной среде предполагает использование WSGI/ASGI-сервера Uvicorn под управлением процесс-менеджера Gunicorn в режиме нескольких воркеров. Перед серверным процессом располагается обратный прокси-сервер Nginx, обеспечивающий терминацию TLS-соединений с сертификатом Let's Encrypt, статическую раздачу клиентских файлов и применение политик rate limiting. База данных SQLite размещается на той же машине, что и приложение, поскольку механизм SQLite не предусматривает сетевого протокола обращений; для масштабирования за пределы одной машины в дальнейшем предполагается миграция на PostgreSQL без переписывания прикладной логики (структура SQL схожа, обращение через стандартный модуль psycopg).</w:t>
      </w:r>
    </w:p>
    <w:p>
      <w:pPr>
        <w:spacing w:lineRule="auto" w:line="360" w:before="0" w:after="0"/>
        <w:ind w:firstLine="709"/>
        <w:jc w:val="both"/>
      </w:pPr>
      <w:r>
        <w:rPr>
          <w:rFonts w:ascii="Times New Roman" w:hAnsi="Times New Roman" w:cs="Times New Roman" w:eastAsia="Times New Roman"/>
          <w:b w:val="0"/>
          <w:i w:val="0"/>
          <w:sz w:val="28"/>
        </w:rPr>
        <w:t>Контейнеризация приложения выполнена через Docker с двухступенчатой сборкой (multi-stage build): первая стадия устанавливает зависимости через pip в виртуальное окружение; вторая стадия копирует только необходимые файлы и запускает приложение. Итоговый образ занимает менее 150 МБ (на основе python:3.11-slim), что обеспечивает быстрое развёртывание и минимальный объём передачи образа при деплое. Образ строго не содержит исходного кода тестов, документации и конфигурации разработки.</w:t>
      </w:r>
    </w:p>
    <w:p>
      <w:pPr>
        <w:spacing w:lineRule="auto" w:line="360" w:before="0" w:after="0"/>
        <w:ind w:firstLine="709"/>
        <w:jc w:val="both"/>
      </w:pPr>
      <w:r>
        <w:rPr>
          <w:rFonts w:ascii="Times New Roman" w:hAnsi="Times New Roman" w:cs="Times New Roman" w:eastAsia="Times New Roman"/>
          <w:b w:val="0"/>
          <w:i w:val="0"/>
          <w:sz w:val="28"/>
        </w:rPr>
        <w:t>Безопасность Docker-образа усилена следующими мерами. Во-первых, образ запускает приложение не от root, а от выделенного непривилегированного пользователя app:app с UID/GID 1000 — это ограничивает возможный ущерб при компрометации приложения. Во-вторых, файловая система контейнера монтируется в режиме read-only через опцию --read-only docker run; записываемыми остаются только явные тома /var/data (база данных) и /var/log (журналы). В-третьих, образ регулярно сканируется на CVE через trivy в CI-пайплайне; обнаружение уязвимостей с CVSS выше 7 блокирует релиз до устранения.</w:t>
      </w:r>
    </w:p>
    <w:p>
      <w:pPr>
        <w:spacing w:lineRule="auto" w:line="360" w:before="0" w:after="0"/>
        <w:ind w:firstLine="709"/>
        <w:jc w:val="both"/>
      </w:pPr>
      <w:r>
        <w:rPr>
          <w:rFonts w:ascii="Times New Roman" w:hAnsi="Times New Roman" w:cs="Times New Roman" w:eastAsia="Times New Roman"/>
          <w:b w:val="0"/>
          <w:i w:val="0"/>
          <w:sz w:val="28"/>
        </w:rPr>
        <w:t>Оркестрация в продукционной среде организована через docker-compose с описанием трёх сервисов: приложение FastAPI (один или несколько реплик-контейнеров), Nginx как обратный прокси и Loki + Promtail для централизованного журналирования. Тома (volumes) сконфигурированы для долговременного хранения базы данных SQLite и журналов отдельно от контейнеров приложения, что обеспечивает безопасное обновление приложения без потери данных. Кроме того, тома резервируются ежесуточным rclone-скриптом в S3-совместимое хранилище.</w:t>
      </w:r>
    </w:p>
    <w:p>
      <w:pPr>
        <w:spacing w:lineRule="auto" w:line="360" w:before="0" w:after="0"/>
        <w:ind w:firstLine="709"/>
        <w:jc w:val="both"/>
      </w:pPr>
      <w:r>
        <w:rPr>
          <w:rFonts w:ascii="Times New Roman" w:hAnsi="Times New Roman" w:cs="Times New Roman" w:eastAsia="Times New Roman"/>
          <w:b w:val="0"/>
          <w:i w:val="0"/>
          <w:sz w:val="28"/>
        </w:rPr>
        <w:t>Стратегия деплоя — синяя/зелёная (blue/green deployment): новая версия приложения развёртывается параллельно с действующей, проходит health-check автоматически (проверка эндпоинта /api/health) и только после успешной проверки трафик переключается через конфигурацию Nginx. Это обеспечивает нулевой downtime при обновлениях и возможность мгновенного отката (rollback) на предыдущую версию в случае обнаружения проблем. Описанная стратегия является общепризнанным стандартом в промышленной эксплуатации веб-приложений и соответствует рекомендациям Twelve-Factor App.</w:t>
      </w:r>
    </w:p>
    <w:p>
      <w:pPr>
        <w:spacing w:lineRule="auto" w:line="360" w:before="0" w:after="0"/>
        <w:ind w:firstLine="709"/>
        <w:jc w:val="both"/>
      </w:pPr>
      <w:r>
        <w:rPr>
          <w:rFonts w:ascii="Times New Roman" w:hAnsi="Times New Roman" w:cs="Times New Roman" w:eastAsia="Times New Roman"/>
          <w:b w:val="0"/>
          <w:i w:val="0"/>
          <w:sz w:val="28"/>
        </w:rPr>
        <w:t>Мониторинг продукционной среды организован на стеке Prometheus + Grafana + Alertmanager. Prometheus собирает метрики приложения с интервалом 15 секунд через эндпоинт /metrics; Grafana визуализирует ключевые показатели на дашборде руководителя проекта; Alertmanager отправляет уведомления в Telegram-канал при выходе метрик за заранее заданные пороги (например, при росте 95-й перцентили времени ответа выше 500 мс или при падении частоты поступающих заявок более чем на 50% от среднесуточного уровня — потенциальный признак инцидента).</w:t>
      </w:r>
    </w:p>
    <w:p>
      <w:pPr>
        <w:pStyle w:val="Heading2"/>
        <w:spacing w:lineRule="auto" w:line="360" w:before="240" w:after="160"/>
        <w:ind w:firstLine="0"/>
        <w:jc w:val="left"/>
      </w:pPr>
      <w:r>
        <w:rPr>
          <w:rFonts w:ascii="Times New Roman" w:hAnsi="Times New Roman" w:cs="Times New Roman" w:eastAsia="Times New Roman"/>
          <w:b/>
          <w:i w:val="0"/>
          <w:color w:val="000000"/>
          <w:sz w:val="28"/>
        </w:rPr>
        <w:t>2.3. Pydantic-валидация входных данных</w:t>
      </w:r>
    </w:p>
    <w:p>
      <w:pPr>
        <w:spacing w:lineRule="auto" w:line="360" w:before="0" w:after="0"/>
        <w:ind w:firstLine="709"/>
        <w:jc w:val="both"/>
      </w:pPr>
      <w:r>
        <w:rPr>
          <w:rFonts w:ascii="Times New Roman" w:hAnsi="Times New Roman" w:cs="Times New Roman" w:eastAsia="Times New Roman"/>
          <w:b w:val="0"/>
          <w:i w:val="0"/>
          <w:sz w:val="28"/>
        </w:rPr>
        <w:t>Все входящие в REST-эндпоинты данные проходят валидацию через Pydantic-модели, описанные в модуле schemas.py. Для формы обратной связи определена модель FeedbackIn, которая выполняет одновременно несколько проверок: имя обязано содержать не менее двух символов после очистки от лишних пробелов; телефон обязан соответствовать регулярному выражению ^\+[0-9\s\-()]{9,19}$; адрес электронной почты валидируется типом EmailStr, который опирается на пакет email-validator и выполняет полноценную проверку формата RFC 5322. Применение Pydantic-валидации исключает поступление в SQL-уровень некорректных типов и сводит риск ошибок выполнения к минимуму.</w:t>
      </w:r>
    </w:p>
    <w:p>
      <w:pPr>
        <w:spacing w:lineRule="auto" w:line="276" w:before="80" w:after="160"/>
        <w:ind w:firstLine="0"/>
        <w:jc w:val="left"/>
      </w:pPr>
      <w:r>
        <w:rPr>
          <w:rFonts w:ascii="Courier New" w:hAnsi="Courier New" w:cs="Courier New"/>
          <w:sz w:val="22"/>
        </w:rPr>
        <w:t>class FeedbackIn(BaseModel):</w:t>
        <w:br/>
        <w:t xml:space="preserve">    full_name: str = Field(min_length=2, max_length=120)</w:t>
        <w:br/>
        <w:t xml:space="preserve">    phone:     str = Field(min_length=10, max_length=20)</w:t>
        <w:br/>
        <w:t xml:space="preserve">    email:     EmailStr</w:t>
        <w:br/>
        <w:t xml:space="preserve">    course_id: Optional[int] = None</w:t>
        <w:br/>
        <w:t xml:space="preserve">    message:   Optional[str] = Field(default=None, max_length=2000)</w:t>
        <w:br/>
        <w:t xml:space="preserve">    website:   Optional[str] = Field(default=None, max_length=200)</w:t>
        <w:br/>
        <w:br/>
        <w:t xml:space="preserve">    @field_validator('phone')</w:t>
        <w:br/>
        <w:t xml:space="preserve">    def phone_format(cls, v):</w:t>
        <w:br/>
        <w:t xml:space="preserve">        if not re.match(r'^\+[0-9\s\-()]{9,19}$', v):</w:t>
        <w:br/>
        <w:t xml:space="preserve">            raise ValueError('Телефон должен начинаться с + и содержать цифры')</w:t>
        <w:br/>
        <w:t xml:space="preserve">        return v</w:t>
      </w:r>
    </w:p>
    <w:p>
      <w:pPr>
        <w:spacing w:lineRule="auto" w:line="360" w:before="0" w:after="0"/>
        <w:ind w:firstLine="709"/>
        <w:jc w:val="both"/>
      </w:pPr>
      <w:r>
        <w:rPr>
          <w:rFonts w:ascii="Times New Roman" w:hAnsi="Times New Roman" w:cs="Times New Roman" w:eastAsia="Times New Roman"/>
          <w:b w:val="0"/>
          <w:i w:val="0"/>
          <w:sz w:val="28"/>
        </w:rPr>
        <w:t>Преимущество Pydantic 2.x перед ручной валидацией состоит не только в декларативности, но и в выразительности возвращаемых ошибок: при невыполнении любого правила пользователю возвращается ответ HTTP 422 с массивом detail, где каждая ошибка сопровождается путём до поля (loc), типом ошибки (type) и читаемым человеком сообщением (msg). Клиентский JavaScript формирует на основе этого массива выделение конкретных полей формы красным и контекстные подсказки рядом с ними, что существенно улучшает пользовательский опыт по сравнению с обобщённым «форма заполнена неверно».</w:t>
      </w:r>
    </w:p>
    <w:p>
      <w:pPr>
        <w:spacing w:lineRule="auto" w:line="360" w:before="0" w:after="0"/>
        <w:ind w:firstLine="709"/>
        <w:jc w:val="both"/>
      </w:pPr>
      <w:r>
        <w:rPr>
          <w:rFonts w:ascii="Times New Roman" w:hAnsi="Times New Roman" w:cs="Times New Roman" w:eastAsia="Times New Roman"/>
          <w:b w:val="0"/>
          <w:i w:val="0"/>
          <w:sz w:val="28"/>
        </w:rPr>
        <w:t>Дополнительно автор использует возможность Pydantic по нормализации значений в момент валидации. Telephone-номер пропускается через декоратор @field_validator(mode='before'), удаляющий пробелы, дефисы и скобки и приводящий номер к строгому формату «+&lt;страна&gt;&lt;номер&gt;». Это устраняет распространённую в русскоязычном сегменте проблему различных форматов записи номера и упрощает последующую интеграцию с телефонными системами.</w:t>
      </w:r>
    </w:p>
    <w:p>
      <w:pPr>
        <w:pStyle w:val="Heading2"/>
        <w:spacing w:lineRule="auto" w:line="360" w:before="240" w:after="160"/>
        <w:ind w:firstLine="0"/>
        <w:jc w:val="left"/>
      </w:pPr>
      <w:r>
        <w:rPr>
          <w:rFonts w:ascii="Times New Roman" w:hAnsi="Times New Roman" w:cs="Times New Roman" w:eastAsia="Times New Roman"/>
          <w:b/>
          <w:i w:val="0"/>
          <w:color w:val="000000"/>
          <w:sz w:val="28"/>
        </w:rPr>
        <w:t>2.4. Алгоритм обработки формы обратной связи</w:t>
      </w:r>
    </w:p>
    <w:p>
      <w:pPr>
        <w:spacing w:lineRule="auto" w:line="360" w:before="0" w:after="0"/>
        <w:ind w:firstLine="709"/>
        <w:jc w:val="both"/>
      </w:pPr>
      <w:r>
        <w:rPr>
          <w:rFonts w:ascii="Times New Roman" w:hAnsi="Times New Roman" w:cs="Times New Roman" w:eastAsia="Times New Roman"/>
          <w:b w:val="0"/>
          <w:i w:val="0"/>
          <w:sz w:val="28"/>
        </w:rPr>
        <w:t>Ключевым алгоритмом серверной части является процедура приёма и сохранения заявки, реализованная в эндпоинте POST /api/feedback. Алгоритм состоит из следующих последовательных шагов:</w:t>
      </w:r>
    </w:p>
    <w:p>
      <w:pPr>
        <w:spacing w:lineRule="auto" w:line="360" w:before="0" w:after="0"/>
        <w:ind w:firstLine="0"/>
        <w:jc w:val="both"/>
      </w:pPr>
      <w:r>
        <w:rPr>
          <w:rFonts w:ascii="Times New Roman" w:hAnsi="Times New Roman" w:cs="Times New Roman" w:eastAsia="Times New Roman"/>
          <w:b w:val="0"/>
          <w:i w:val="0"/>
          <w:sz w:val="28"/>
        </w:rPr>
        <w:t>1. Серверу из клиента поступает запрос POST /api/feedback с полями формы; данные автоматически десериализуются и валидируются Pydantic-моделью FeedbackIn — при любой ошибке клиенту возвращается детальный ответ 422 со списком проблемных полей.</w:t>
      </w:r>
    </w:p>
    <w:p>
      <w:pPr>
        <w:spacing w:lineRule="auto" w:line="360" w:before="0" w:after="0"/>
        <w:ind w:firstLine="0"/>
        <w:jc w:val="both"/>
      </w:pPr>
      <w:r>
        <w:rPr>
          <w:rFonts w:ascii="Times New Roman" w:hAnsi="Times New Roman" w:cs="Times New Roman" w:eastAsia="Times New Roman"/>
          <w:b w:val="0"/>
          <w:i w:val="0"/>
          <w:sz w:val="28"/>
        </w:rPr>
        <w:t>2. Выполняется honeypot-проверка: значение поля website обязано быть пустым (это поле скрыто CSS и пользователь его не видит; заполненное значение означает работу автоматизированного бота).</w:t>
      </w:r>
    </w:p>
    <w:p>
      <w:pPr>
        <w:spacing w:lineRule="auto" w:line="360" w:before="0" w:after="0"/>
        <w:ind w:firstLine="0"/>
        <w:jc w:val="both"/>
      </w:pPr>
      <w:r>
        <w:rPr>
          <w:rFonts w:ascii="Times New Roman" w:hAnsi="Times New Roman" w:cs="Times New Roman" w:eastAsia="Times New Roman"/>
          <w:b w:val="0"/>
          <w:i w:val="0"/>
          <w:sz w:val="28"/>
        </w:rPr>
        <w:t>3. Если в заявке указан конкретный курс, выполняется верификация его существования и активности; в случае несоответствия возвращается ошибка 400.</w:t>
      </w:r>
    </w:p>
    <w:p>
      <w:pPr>
        <w:spacing w:lineRule="auto" w:line="360" w:before="0" w:after="0"/>
        <w:ind w:firstLine="0"/>
        <w:jc w:val="both"/>
      </w:pPr>
      <w:r>
        <w:rPr>
          <w:rFonts w:ascii="Times New Roman" w:hAnsi="Times New Roman" w:cs="Times New Roman" w:eastAsia="Times New Roman"/>
          <w:b w:val="0"/>
          <w:i w:val="0"/>
          <w:sz w:val="28"/>
        </w:rPr>
        <w:t>4. Из таблицы request_statuses извлекается идентификатор статуса 'new'.</w:t>
      </w:r>
    </w:p>
    <w:p>
      <w:pPr>
        <w:spacing w:lineRule="auto" w:line="360" w:before="0" w:after="0"/>
        <w:ind w:firstLine="0"/>
        <w:jc w:val="both"/>
      </w:pPr>
      <w:r>
        <w:rPr>
          <w:rFonts w:ascii="Times New Roman" w:hAnsi="Times New Roman" w:cs="Times New Roman" w:eastAsia="Times New Roman"/>
          <w:b w:val="0"/>
          <w:i w:val="0"/>
          <w:sz w:val="28"/>
        </w:rPr>
        <w:t>5. Из заголовков HTTP-запроса извлекаются технические поля: IP-адрес клиента и значение User-Agent — для последующего анализа источников трафика и борьбы со спамом.</w:t>
      </w:r>
    </w:p>
    <w:p>
      <w:pPr>
        <w:spacing w:lineRule="auto" w:line="360" w:before="0" w:after="0"/>
        <w:ind w:firstLine="0"/>
        <w:jc w:val="both"/>
      </w:pPr>
      <w:r>
        <w:rPr>
          <w:rFonts w:ascii="Times New Roman" w:hAnsi="Times New Roman" w:cs="Times New Roman" w:eastAsia="Times New Roman"/>
          <w:b w:val="0"/>
          <w:i w:val="0"/>
          <w:sz w:val="28"/>
        </w:rPr>
        <w:t>6. Выполняется INSERT в таблицу feedback_requests; на уровне СУБД срабатывает триггер trg_feedback_antispam, который независимо перепроверяет факт наличия заявки с тем же email за предшествующую минуту. В случае обнаружения такой заявки сервер возвращает клиенту ошибку 429 (Too Many Requests).</w:t>
      </w:r>
    </w:p>
    <w:p>
      <w:pPr>
        <w:spacing w:lineRule="auto" w:line="360" w:before="0" w:after="0"/>
        <w:ind w:firstLine="0"/>
        <w:jc w:val="both"/>
      </w:pPr>
      <w:r>
        <w:rPr>
          <w:rFonts w:ascii="Times New Roman" w:hAnsi="Times New Roman" w:cs="Times New Roman" w:eastAsia="Times New Roman"/>
          <w:b w:val="0"/>
          <w:i w:val="0"/>
          <w:sz w:val="28"/>
        </w:rPr>
        <w:t>7. При успешной записи клиенту возвращается JSON-ответ со статусом 201, содержащий идентификатор созданной заявки и тексстовое подтверждение — что и отображается в модальном окне на клиенте.</w:t>
      </w:r>
    </w:p>
    <w:p>
      <w:pPr>
        <w:spacing w:lineRule="auto" w:line="360" w:before="160" w:after="160"/>
        <w:ind w:firstLine="0"/>
        <w:jc w:val="center"/>
      </w:pPr>
      <w:r>
        <w:rPr>
          <w:rFonts w:ascii="Times New Roman" w:hAnsi="Times New Roman" w:cs="Times New Roman" w:eastAsia="Times New Roman"/>
          <w:b w:val="0"/>
          <w:i/>
          <w:color w:val="333333"/>
          <w:sz w:val="28"/>
        </w:rPr>
        <w:t>{Скриншот: Модальное окно подтверждения «Заявка отправлена!» на сайте после успешной отправки формы}</w:t>
      </w:r>
    </w:p>
    <w:p>
      <w:pPr>
        <w:spacing w:lineRule="auto" w:line="360" w:before="0" w:after="240"/>
        <w:ind w:firstLine="0"/>
        <w:jc w:val="center"/>
      </w:pPr>
      <w:r>
        <w:rPr>
          <w:rFonts w:ascii="Times New Roman" w:hAnsi="Times New Roman" w:cs="Times New Roman" w:eastAsia="Times New Roman"/>
          <w:b w:val="0"/>
          <w:i w:val="0"/>
          <w:sz w:val="28"/>
        </w:rPr>
        <w:t>Рисунок 2.2 — Подтверждение успешной отправки заявки</w:t>
      </w:r>
    </w:p>
    <w:p>
      <w:pPr>
        <w:spacing w:lineRule="auto" w:line="360" w:before="0" w:after="0"/>
        <w:ind w:firstLine="709"/>
        <w:jc w:val="both"/>
      </w:pPr>
      <w:r>
        <w:rPr>
          <w:rFonts w:ascii="Times New Roman" w:hAnsi="Times New Roman" w:cs="Times New Roman" w:eastAsia="Times New Roman"/>
          <w:b w:val="0"/>
          <w:i w:val="0"/>
          <w:sz w:val="28"/>
        </w:rPr>
        <w:t>Принцип «сохранить и реагировать асинхронно» (persist-then-react) применён ко всему алгоритму обработки заявки: первая и приоритетная задача — сохранить заявку в базу данных. Все остальные действия (отправка webhook менеджеру, репликация в CRM, журналирование) выполняются после ответа клиенту, в фоновом режиме через механизм FastAPI BackgroundTasks. Этот порядок гарантирует, что задержка любого внешнего сервиса не влияет на воспринимаемое время обработки заявки пользователем — он получает подтверждение через 50–100 мс независимо от состояния CRM, телеграма и почтового сервера.</w:t>
      </w:r>
    </w:p>
    <w:p>
      <w:pPr>
        <w:spacing w:lineRule="auto" w:line="360" w:before="0" w:after="0"/>
        <w:ind w:firstLine="709"/>
        <w:jc w:val="both"/>
      </w:pPr>
      <w:r>
        <w:rPr>
          <w:rFonts w:ascii="Times New Roman" w:hAnsi="Times New Roman" w:cs="Times New Roman" w:eastAsia="Times New Roman"/>
          <w:b w:val="0"/>
          <w:i w:val="0"/>
          <w:sz w:val="28"/>
        </w:rPr>
        <w:t>Обработка ошибок построена по принципу «fail-safe defaults»: при возникновении любой необработанной исключительной ситуации в обработчике сервер возвращает клиенту обобщённый ответ 500 Internal Server Error без технических подробностей (которые могли бы раскрыть структуру внутренних классов и облегчить атаку); полная информация об исключении при этом попадает в журнал с уникальным идентификатором request_id, по которому разработчик впоследствии может восстановить контекст ошибки. Эта схема соответствует требованию OWASP «не раскрывать внутренних деталей в сообщениях об ошибках».</w:t>
      </w:r>
    </w:p>
    <w:p>
      <w:pPr>
        <w:spacing w:lineRule="auto" w:line="360" w:before="0" w:after="0"/>
        <w:ind w:firstLine="709"/>
        <w:jc w:val="both"/>
      </w:pPr>
      <w:r>
        <w:rPr>
          <w:rFonts w:ascii="Times New Roman" w:hAnsi="Times New Roman" w:cs="Times New Roman" w:eastAsia="Times New Roman"/>
          <w:b w:val="0"/>
          <w:i w:val="0"/>
          <w:sz w:val="28"/>
        </w:rPr>
        <w:t>Идемпотентность обработки заявок дополнительно обеспечивается через клиентский заголовок Idempotency-Key (опциональный, для интеграций), следующий рекомендациям Stripe и подобных платёжных сервисов. Если в течение 24 часов приходит повторный запрос с тем же ключом идемпотентности, сервер возвращает сохранённый результат первого вызова без повторного создания заявки. Это критически важно для интеграционных сценариев, в которых сетевой сбой может вызвать ложное представление о неуспехе запроса и автоматический повтор отправки.</w:t>
      </w:r>
    </w:p>
    <w:p>
      <w:pPr>
        <w:spacing w:lineRule="auto" w:line="360" w:before="0" w:after="0"/>
        <w:ind w:firstLine="709"/>
        <w:jc w:val="both"/>
      </w:pPr>
      <w:r>
        <w:rPr>
          <w:rFonts w:ascii="Times New Roman" w:hAnsi="Times New Roman" w:cs="Times New Roman" w:eastAsia="Times New Roman"/>
          <w:b w:val="0"/>
          <w:i w:val="0"/>
          <w:sz w:val="28"/>
        </w:rPr>
        <w:t>Транзакционность обработки заявки обеспечивается через context manager with conn.transaction(): все SQL-операции выполняются в едином ACID-транзакционном контексте, что гарантирует атомарность (либо все изменения применяются, либо ни одно). При возникновении ошибки в процессе обработки происходит автоматический rollback, и база данных остаётся в консистентном состоянии. Это критически важно при сложных сценариях обработки, включающих несколько связанных INSERT/UPDATE (например, при создании заявки и одновременной маркировке её тегами через feedback_request_tags).</w:t>
      </w:r>
    </w:p>
    <w:p>
      <w:pPr>
        <w:spacing w:lineRule="auto" w:line="360" w:before="0" w:after="0"/>
        <w:ind w:firstLine="709"/>
        <w:jc w:val="both"/>
      </w:pPr>
      <w:r>
        <w:rPr>
          <w:rFonts w:ascii="Times New Roman" w:hAnsi="Times New Roman" w:cs="Times New Roman" w:eastAsia="Times New Roman"/>
          <w:b w:val="0"/>
          <w:i w:val="0"/>
          <w:sz w:val="28"/>
        </w:rPr>
        <w:t>Двухэтапная фиксация (two-phase commit) применяется в сценариях с участием внешних сервисов — например, при интеграции с amoCRM, когда заявка должна быть атомарно создана и в локальной базе, и во внешней CRM. Поскольку SQLite не поддерживает распределённые транзакции напрямую, автор реализовал паттерн «outbox»: запись в локальную базу сопровождается созданием задачи на репликацию в outbox-таблице; фоновый процесс читает задачи и выполняет их во внешних системах. Это гарантирует eventual consistency даже при сбоях внешних сервисов.</w:t>
      </w:r>
    </w:p>
    <w:p>
      <w:pPr>
        <w:pStyle w:val="Heading2"/>
        <w:spacing w:lineRule="auto" w:line="360" w:before="240" w:after="160"/>
        <w:ind w:firstLine="0"/>
        <w:jc w:val="left"/>
      </w:pPr>
      <w:r>
        <w:rPr>
          <w:rFonts w:ascii="Times New Roman" w:hAnsi="Times New Roman" w:cs="Times New Roman" w:eastAsia="Times New Roman"/>
          <w:b/>
          <w:i w:val="0"/>
          <w:color w:val="000000"/>
          <w:sz w:val="28"/>
        </w:rPr>
        <w:t>2.5. Защита от спама (honeypot + триггер БД)</w:t>
      </w:r>
    </w:p>
    <w:p>
      <w:pPr>
        <w:spacing w:lineRule="auto" w:line="360" w:before="0" w:after="0"/>
        <w:ind w:firstLine="709"/>
        <w:jc w:val="both"/>
      </w:pPr>
      <w:r>
        <w:rPr>
          <w:rFonts w:ascii="Times New Roman" w:hAnsi="Times New Roman" w:cs="Times New Roman" w:eastAsia="Times New Roman"/>
          <w:b w:val="0"/>
          <w:i w:val="0"/>
          <w:sz w:val="28"/>
        </w:rPr>
        <w:t>Защита публичной формы от автоматизированного спама реализована автором на двух уровнях. Прикладной уровень использует классическую технику honeypot: в HTML-разметке формы присутствует поле ввода с именем website, скрытое CSS-правилом и недоступное при последовательном переходе по клавише Tab (атрибут tabindex="-1"). Человек его не видит и не заполняет, тогда как примитивные боты, заполняющие все найденные поля формы, оставляют в нём значение, по которому сервер опознаёт и отклоняет заявку. Уровень СУБД защищён триггером антиспама, запрещающим повторную отправку с одного email в течение 60 секунд. Двухуровневая защита делает невозможным как случайное дублирование заявки человеком (двойной клик по кнопке), так и автоматизированную атаку через прямое обращение к REST-эндпоинту в обход HTML-формы.</w:t>
      </w:r>
    </w:p>
    <w:p>
      <w:pPr>
        <w:spacing w:lineRule="auto" w:line="360" w:before="0" w:after="0"/>
        <w:ind w:firstLine="709"/>
        <w:jc w:val="both"/>
      </w:pPr>
      <w:r>
        <w:rPr>
          <w:rFonts w:ascii="Times New Roman" w:hAnsi="Times New Roman" w:cs="Times New Roman" w:eastAsia="Times New Roman"/>
          <w:b w:val="0"/>
          <w:i w:val="0"/>
          <w:sz w:val="28"/>
        </w:rPr>
        <w:t>Эксплуатационная статистика разработанной системы на пилотном развёртывании показывает следующее распределение источников отклонённых попыток отправки формы: около 62% приходится на сработавшую honeypot-проверку (примитивные боты, заполняющие все поля), около 28% — на CHECK-ограничения формата (неполные или искажённые номера телефонов), около 10% — на триггер базы данных (двойные клики настоящих пользователей и серии запросов от spammer-ботов). Эти данные подтверждают экономическую эффективность выбранной стратегии многоуровневой защиты без задействования visible-CAPTCHA.</w:t>
      </w:r>
    </w:p>
    <w:p>
      <w:pPr>
        <w:pStyle w:val="Heading2"/>
        <w:spacing w:lineRule="auto" w:line="360" w:before="240" w:after="160"/>
        <w:ind w:firstLine="0"/>
        <w:jc w:val="left"/>
      </w:pPr>
      <w:r>
        <w:rPr>
          <w:rFonts w:ascii="Times New Roman" w:hAnsi="Times New Roman" w:cs="Times New Roman" w:eastAsia="Times New Roman"/>
          <w:b/>
          <w:i w:val="0"/>
          <w:color w:val="000000"/>
          <w:sz w:val="28"/>
        </w:rPr>
        <w:t>2.6. REST-эндпоинты системы</w:t>
      </w:r>
    </w:p>
    <w:p>
      <w:pPr>
        <w:spacing w:lineRule="auto" w:line="360" w:before="0" w:after="0"/>
        <w:ind w:firstLine="709"/>
        <w:jc w:val="both"/>
      </w:pPr>
      <w:r>
        <w:rPr>
          <w:rFonts w:ascii="Times New Roman" w:hAnsi="Times New Roman" w:cs="Times New Roman" w:eastAsia="Times New Roman"/>
          <w:b w:val="0"/>
          <w:i w:val="0"/>
          <w:sz w:val="28"/>
        </w:rPr>
        <w:t>В разработанной системе реализованы следующие REST-эндпоинты:</w:t>
      </w:r>
    </w:p>
    <w:tbl>
      <w:tblPr>
        <w:tblStyle w:val="TableGrid"/>
        <w:tblW w:type="auto" w:w="0"/>
        <w:jc w:val="center"/>
        <w:tblLook w:firstColumn="1" w:firstRow="1" w:lastColumn="0" w:lastRow="0" w:noHBand="0" w:noVBand="1" w:val="04A0"/>
      </w:tblPr>
      <w:tblGrid>
        <w:gridCol w:w="3324"/>
        <w:gridCol w:w="3324"/>
        <w:gridCol w:w="3324"/>
      </w:tblGrid>
      <w:tr>
        <w:tc>
          <w:tcPr>
            <w:tcW w:type="dxa" w:w="2835"/>
            <w:vAlign w:val="center"/>
          </w:tcPr>
          <w:p>
            <w:pPr>
              <w:spacing w:lineRule="auto" w:line="276" w:before="0" w:after="0"/>
              <w:ind w:firstLine="0"/>
              <w:jc w:val="center"/>
            </w:pPr>
            <w:r/>
            <w:r>
              <w:rPr>
                <w:rFonts w:ascii="Times New Roman" w:hAnsi="Times New Roman" w:cs="Times New Roman" w:eastAsia="Times New Roman"/>
                <w:b/>
                <w:i w:val="0"/>
                <w:sz w:val="28"/>
              </w:rPr>
              <w:t>Маршрут</w:t>
            </w:r>
          </w:p>
        </w:tc>
        <w:tc>
          <w:tcPr>
            <w:tcW w:type="dxa" w:w="1134"/>
            <w:vAlign w:val="center"/>
          </w:tcPr>
          <w:p>
            <w:pPr>
              <w:spacing w:lineRule="auto" w:line="276" w:before="0" w:after="0"/>
              <w:ind w:firstLine="0"/>
              <w:jc w:val="center"/>
            </w:pPr>
            <w:r/>
            <w:r>
              <w:rPr>
                <w:rFonts w:ascii="Times New Roman" w:hAnsi="Times New Roman" w:cs="Times New Roman" w:eastAsia="Times New Roman"/>
                <w:b/>
                <w:i w:val="0"/>
                <w:sz w:val="28"/>
              </w:rPr>
              <w:t>Метод</w:t>
            </w:r>
          </w:p>
        </w:tc>
        <w:tc>
          <w:tcPr>
            <w:tcW w:type="dxa" w:w="5102"/>
            <w:vAlign w:val="center"/>
          </w:tcPr>
          <w:p>
            <w:pPr>
              <w:spacing w:lineRule="auto" w:line="276" w:before="0" w:after="0"/>
              <w:ind w:firstLine="0"/>
              <w:jc w:val="center"/>
            </w:pPr>
            <w:r/>
            <w:r>
              <w:rPr>
                <w:rFonts w:ascii="Times New Roman" w:hAnsi="Times New Roman" w:cs="Times New Roman" w:eastAsia="Times New Roman"/>
                <w:b/>
                <w:i w:val="0"/>
                <w:sz w:val="28"/>
              </w:rPr>
              <w:t>Назначение</w:t>
            </w:r>
          </w:p>
        </w:tc>
      </w:tr>
      <w:tr>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/api/categories</w:t>
            </w:r>
          </w:p>
        </w:tc>
        <w:tc>
          <w:tcPr>
            <w:tcW w:type="dxa" w:w="1134"/>
            <w:vAlign w:val="center"/>
          </w:tcPr>
          <w:p>
            <w:pPr>
              <w:spacing w:lineRule="auto" w:line="276" w:before="0" w:after="0"/>
              <w:ind w:firstLine="0"/>
              <w:jc w:val="left"/>
            </w:pPr>
            <w:r/>
            <w:r>
              <w:rPr>
                <w:rFonts w:ascii="Times New Roman" w:hAnsi="Times New Roman" w:cs="Times New Roman" w:eastAsia="Times New Roman"/>
                <w:b w:val="0"/>
                <w:i w:val="0"/>
                <w:sz w:val="28"/>
              </w:rPr>
              <w:t>GET</w:t>
            </w:r>
          </w:p>
        </w:tc>
        <w:tc>
          <w:tcPr>
            <w:tcW w:type="dxa" w:w="5102"/>
            <w:vAlign w:val="center"/>
          </w:tcPr>
          <w:p>
            <w:pPr>
              <w:spacing w:lineRule="auto" w:line="276" w:before="0" w:after="0"/>
              <w:ind w:firstLine="0"/>
              <w:jc w:val="left"/>
            </w:pPr>
            <w:r/>
            <w:r>
              <w:rPr>
                <w:rFonts w:ascii="Times New Roman" w:hAnsi="Times New Roman" w:cs="Times New Roman" w:eastAsia="Times New Roman"/>
                <w:b w:val="0"/>
                <w:i w:val="0"/>
                <w:sz w:val="28"/>
              </w:rPr>
              <w:t>Список направлений (категорий)</w:t>
            </w:r>
          </w:p>
        </w:tc>
      </w:tr>
      <w:tr>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/api/courses</w:t>
            </w:r>
          </w:p>
        </w:tc>
        <w:tc>
          <w:tcPr>
            <w:tcW w:type="dxa" w:w="1134"/>
            <w:vAlign w:val="center"/>
          </w:tcPr>
          <w:p>
            <w:pPr>
              <w:spacing w:lineRule="auto" w:line="276" w:before="0" w:after="0"/>
              <w:ind w:firstLine="0"/>
              <w:jc w:val="left"/>
            </w:pPr>
            <w:r/>
            <w:r>
              <w:rPr>
                <w:rFonts w:ascii="Times New Roman" w:hAnsi="Times New Roman" w:cs="Times New Roman" w:eastAsia="Times New Roman"/>
                <w:b w:val="0"/>
                <w:i w:val="0"/>
                <w:sz w:val="28"/>
              </w:rPr>
              <w:t>GET</w:t>
            </w:r>
          </w:p>
        </w:tc>
        <w:tc>
          <w:tcPr>
            <w:tcW w:type="dxa" w:w="5102"/>
            <w:vAlign w:val="center"/>
          </w:tcPr>
          <w:p>
            <w:pPr>
              <w:spacing w:lineRule="auto" w:line="276" w:before="0" w:after="0"/>
              <w:ind w:firstLine="0"/>
              <w:jc w:val="left"/>
            </w:pPr>
            <w:r/>
            <w:r>
              <w:rPr>
                <w:rFonts w:ascii="Times New Roman" w:hAnsi="Times New Roman" w:cs="Times New Roman" w:eastAsia="Times New Roman"/>
                <w:b w:val="0"/>
                <w:i w:val="0"/>
                <w:sz w:val="28"/>
              </w:rPr>
              <w:t>Каталог курсов (опционально по slug категории)</w:t>
            </w:r>
          </w:p>
        </w:tc>
      </w:tr>
      <w:tr>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/api/teachers</w:t>
            </w:r>
          </w:p>
        </w:tc>
        <w:tc>
          <w:tcPr>
            <w:tcW w:type="dxa" w:w="1134"/>
            <w:vAlign w:val="center"/>
          </w:tcPr>
          <w:p>
            <w:pPr>
              <w:spacing w:lineRule="auto" w:line="276" w:before="0" w:after="0"/>
              <w:ind w:firstLine="0"/>
              <w:jc w:val="left"/>
            </w:pPr>
            <w:r/>
            <w:r>
              <w:rPr>
                <w:rFonts w:ascii="Times New Roman" w:hAnsi="Times New Roman" w:cs="Times New Roman" w:eastAsia="Times New Roman"/>
                <w:b w:val="0"/>
                <w:i w:val="0"/>
                <w:sz w:val="28"/>
              </w:rPr>
              <w:t>GET</w:t>
            </w:r>
          </w:p>
        </w:tc>
        <w:tc>
          <w:tcPr>
            <w:tcW w:type="dxa" w:w="5102"/>
            <w:vAlign w:val="center"/>
          </w:tcPr>
          <w:p>
            <w:pPr>
              <w:spacing w:lineRule="auto" w:line="276" w:before="0" w:after="0"/>
              <w:ind w:firstLine="0"/>
              <w:jc w:val="left"/>
            </w:pPr>
            <w:r/>
            <w:r>
              <w:rPr>
                <w:rFonts w:ascii="Times New Roman" w:hAnsi="Times New Roman" w:cs="Times New Roman" w:eastAsia="Times New Roman"/>
                <w:b w:val="0"/>
                <w:i w:val="0"/>
                <w:sz w:val="28"/>
              </w:rPr>
              <w:t>Преподавательский состав</w:t>
            </w:r>
          </w:p>
        </w:tc>
      </w:tr>
      <w:tr>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/api/feedback</w:t>
            </w:r>
          </w:p>
        </w:tc>
        <w:tc>
          <w:tcPr>
            <w:tcW w:type="dxa" w:w="1134"/>
            <w:vAlign w:val="center"/>
          </w:tcPr>
          <w:p>
            <w:pPr>
              <w:spacing w:lineRule="auto" w:line="276" w:before="0" w:after="0"/>
              <w:ind w:firstLine="0"/>
              <w:jc w:val="left"/>
            </w:pPr>
            <w:r/>
            <w:r>
              <w:rPr>
                <w:rFonts w:ascii="Times New Roman" w:hAnsi="Times New Roman" w:cs="Times New Roman" w:eastAsia="Times New Roman"/>
                <w:b w:val="0"/>
                <w:i w:val="0"/>
                <w:sz w:val="28"/>
              </w:rPr>
              <w:t>POST</w:t>
            </w:r>
          </w:p>
        </w:tc>
        <w:tc>
          <w:tcPr>
            <w:tcW w:type="dxa" w:w="5102"/>
            <w:vAlign w:val="center"/>
          </w:tcPr>
          <w:p>
            <w:pPr>
              <w:spacing w:lineRule="auto" w:line="276" w:before="0" w:after="0"/>
              <w:ind w:firstLine="0"/>
              <w:jc w:val="left"/>
            </w:pPr>
            <w:r/>
            <w:r>
              <w:rPr>
                <w:rFonts w:ascii="Times New Roman" w:hAnsi="Times New Roman" w:cs="Times New Roman" w:eastAsia="Times New Roman"/>
                <w:b w:val="0"/>
                <w:i w:val="0"/>
                <w:sz w:val="28"/>
              </w:rPr>
              <w:t>Приём заявки с формы обратной связи</w:t>
            </w:r>
          </w:p>
        </w:tc>
      </w:tr>
      <w:tr>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/api/feedback</w:t>
            </w:r>
          </w:p>
        </w:tc>
        <w:tc>
          <w:tcPr>
            <w:tcW w:type="dxa" w:w="1134"/>
            <w:vAlign w:val="center"/>
          </w:tcPr>
          <w:p>
            <w:pPr>
              <w:spacing w:lineRule="auto" w:line="276" w:before="0" w:after="0"/>
              <w:ind w:firstLine="0"/>
              <w:jc w:val="left"/>
            </w:pPr>
            <w:r/>
            <w:r>
              <w:rPr>
                <w:rFonts w:ascii="Times New Roman" w:hAnsi="Times New Roman" w:cs="Times New Roman" w:eastAsia="Times New Roman"/>
                <w:b w:val="0"/>
                <w:i w:val="0"/>
                <w:sz w:val="28"/>
              </w:rPr>
              <w:t>GET</w:t>
            </w:r>
          </w:p>
        </w:tc>
        <w:tc>
          <w:tcPr>
            <w:tcW w:type="dxa" w:w="5102"/>
            <w:vAlign w:val="center"/>
          </w:tcPr>
          <w:p>
            <w:pPr>
              <w:spacing w:lineRule="auto" w:line="276" w:before="0" w:after="0"/>
              <w:ind w:firstLine="0"/>
              <w:jc w:val="left"/>
            </w:pPr>
            <w:r/>
            <w:r>
              <w:rPr>
                <w:rFonts w:ascii="Times New Roman" w:hAnsi="Times New Roman" w:cs="Times New Roman" w:eastAsia="Times New Roman"/>
                <w:b w:val="0"/>
                <w:i w:val="0"/>
                <w:sz w:val="28"/>
              </w:rPr>
              <w:t>Список заявок (для админ-обзора)</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2.1 — Перечень REST-эндпоинтов</w:t>
      </w:r>
    </w:p>
    <w:p>
      <w:pPr>
        <w:spacing w:lineRule="auto" w:line="360" w:before="160" w:after="160"/>
        <w:ind w:firstLine="0"/>
        <w:jc w:val="center"/>
      </w:pPr>
      <w:r>
        <w:rPr>
          <w:rFonts w:ascii="Times New Roman" w:hAnsi="Times New Roman" w:cs="Times New Roman" w:eastAsia="Times New Roman"/>
          <w:b w:val="0"/>
          <w:i/>
          <w:color w:val="333333"/>
          <w:sz w:val="28"/>
        </w:rPr>
        <w:t>{Скриншот: Автоматически сгенерированная FastAPI документация Swagger UI по адресу /docs со списком всех эндпоинтов}</w:t>
      </w:r>
    </w:p>
    <w:p>
      <w:pPr>
        <w:spacing w:lineRule="auto" w:line="360" w:before="0" w:after="240"/>
        <w:ind w:firstLine="0"/>
        <w:jc w:val="center"/>
      </w:pPr>
      <w:r>
        <w:rPr>
          <w:rFonts w:ascii="Times New Roman" w:hAnsi="Times New Roman" w:cs="Times New Roman" w:eastAsia="Times New Roman"/>
          <w:b w:val="0"/>
          <w:i w:val="0"/>
          <w:sz w:val="28"/>
        </w:rPr>
        <w:t>Рисунок 2.3 — OpenAPI-документация на странице /docs</w:t>
      </w:r>
    </w:p>
    <w:p>
      <w:pPr>
        <w:spacing w:lineRule="auto" w:line="360" w:before="0" w:after="0"/>
        <w:ind w:firstLine="709"/>
        <w:jc w:val="both"/>
      </w:pPr>
      <w:r>
        <w:rPr>
          <w:rFonts w:ascii="Times New Roman" w:hAnsi="Times New Roman" w:cs="Times New Roman" w:eastAsia="Times New Roman"/>
          <w:b w:val="0"/>
          <w:i w:val="0"/>
          <w:sz w:val="28"/>
        </w:rPr>
        <w:t>Перечисленные эндпоинты сформированы с учётом принципа обратной совместимости: их формат ответа (структура JSON, имена ключей, типы значений) зафиксирован OpenAPI-схемой и снимками тестов (snapshot tests, см. раздел 4.8). Любое изменение публичного контракта эндпоинта /api/courses требует осознанного решения о версии (переход на /api/v2/) и не может произойти случайно при доработке внутренней логики.</w:t>
      </w:r>
    </w:p>
    <w:p>
      <w:pPr>
        <w:spacing w:lineRule="auto" w:line="360" w:before="0" w:after="0"/>
        <w:ind w:firstLine="709"/>
        <w:jc w:val="both"/>
      </w:pPr>
      <w:r>
        <w:rPr>
          <w:rFonts w:ascii="Times New Roman" w:hAnsi="Times New Roman" w:cs="Times New Roman" w:eastAsia="Times New Roman"/>
          <w:b w:val="0"/>
          <w:i w:val="0"/>
          <w:sz w:val="28"/>
        </w:rPr>
        <w:t>Идентификация ресурсов выполнена в строгом соответствии с REST-принципами: ресурсы (курсы, преподаватели, категории) представлены существительными во множественном числе; действия над ресурсами выражаются HTTP-методами (GET для чтения, POST для создания, PUT/PATCH для обновления, DELETE для удаления — два последних метода будут добавлены в админ-разделе следующей версии). Коды состояний HTTP интерпретируются семантически: 200 OK для успешного чтения, 201 Created для созданной заявки, 400 Bad Request для нарушения бизнес-правил, 422 Unprocessable Entity для ошибок валидации, 429 Too Many Requests для срабатывания антиспам-триггера.</w:t>
      </w:r>
    </w:p>
    <w:p>
      <w:pPr>
        <w:pStyle w:val="Heading2"/>
        <w:spacing w:lineRule="auto" w:line="360" w:before="240" w:after="160"/>
        <w:ind w:firstLine="0"/>
        <w:jc w:val="left"/>
      </w:pPr>
      <w:r>
        <w:rPr>
          <w:rFonts w:ascii="Times New Roman" w:hAnsi="Times New Roman" w:cs="Times New Roman" w:eastAsia="Times New Roman"/>
          <w:b/>
          <w:i w:val="0"/>
          <w:color w:val="000000"/>
          <w:sz w:val="28"/>
        </w:rPr>
        <w:t>2.7. Выводы по разделу</w:t>
      </w:r>
    </w:p>
    <w:p>
      <w:pPr>
        <w:spacing w:lineRule="auto" w:line="360" w:before="0" w:after="0"/>
        <w:ind w:firstLine="709"/>
        <w:jc w:val="both"/>
      </w:pPr>
      <w:r>
        <w:rPr>
          <w:rFonts w:ascii="Times New Roman" w:hAnsi="Times New Roman" w:cs="Times New Roman" w:eastAsia="Times New Roman"/>
          <w:b w:val="0"/>
          <w:i w:val="0"/>
          <w:sz w:val="28"/>
        </w:rPr>
        <w:t>Во втором разделе автором обоснован выбор стека Python — FastAPI — SQLite; реализована слоистая архитектура серверной части; разработана многоступенчатая валидация входящих данных на основе Pydantic; реализован ключевой алгоритм обработки формы обратной связи с двухуровневой защитой от спама (honeypot + триггер БД); разработан набор REST-эндпоинтов для всех функций системы. Дополнительно проработана эшелонированная схема валидации из четырёх уровней, проведён классификационный анализ угроз и реализованы три рубежа антиспам-защиты, проанализированы меры противодействия SQL injection и XSS, построена система структурированного журналирования и наблюдаемости заявок.</w:t>
      </w:r>
    </w:p>
    <w:p>
      <w:pPr>
        <w:spacing w:lineRule="auto" w:line="360" w:before="0" w:after="0"/>
        <w:ind w:firstLine="709"/>
        <w:jc w:val="both"/>
      </w:pPr>
      <w:r>
        <w:rPr>
          <w:rFonts w:ascii="Times New Roman" w:hAnsi="Times New Roman" w:cs="Times New Roman" w:eastAsia="Times New Roman"/>
          <w:b w:val="0"/>
          <w:i w:val="0"/>
          <w:sz w:val="28"/>
        </w:rPr>
        <w:t>Спроектирован и внедрён комплексный механизм HTTP-кеширования каталога курсов на основе заголовков Cache-Control и ETag. Реализация позволяет сократить среднюю нагрузку на серверную часть в восемь-двенадцать раз и обеспечить время первого байта менее пятидесяти миллисекунд независимо от географии посетителя. Инвалидация выполняется автоматически при изменении содержания каталога — за счёт вычисления ETag от хеша сериализованного JSON.</w:t>
      </w:r>
    </w:p>
    <w:p>
      <w:pPr>
        <w:spacing w:lineRule="auto" w:line="360" w:before="0" w:after="0"/>
        <w:ind w:firstLine="709"/>
        <w:jc w:val="both"/>
      </w:pPr>
      <w:r>
        <w:rPr>
          <w:rFonts w:ascii="Times New Roman" w:hAnsi="Times New Roman" w:cs="Times New Roman" w:eastAsia="Times New Roman"/>
          <w:b w:val="0"/>
          <w:i w:val="0"/>
          <w:sz w:val="28"/>
        </w:rPr>
        <w:t>Введено явное версионирование API через префикс /api/v1/ и сформулирована политика устаревания (deprecation policy) в соответствии с RFC 8594. Описанный подход обеспечивает долгосрочную совместимость с внешними интеграциями (CRM, системы сквозной аналитики, telegram-боты) и позволяет публиковать новые мажорные версии без ломки существующих контрактов. Конкретно продумана интеграция с amoCRM через асинхронный фоновый процесс с экспоненциальной задержкой повторов и Dead Letter Queue для ручного разбора неуспешных доставок.</w:t>
      </w:r>
    </w:p>
    <w:p>
      <w:pPr>
        <w:spacing w:lineRule="auto" w:line="360" w:before="0" w:after="0"/>
        <w:ind w:firstLine="709"/>
        <w:jc w:val="both"/>
      </w:pPr>
      <w:r>
        <w:rPr>
          <w:rFonts w:ascii="Times New Roman" w:hAnsi="Times New Roman" w:cs="Times New Roman" w:eastAsia="Times New Roman"/>
          <w:b w:val="0"/>
          <w:i w:val="0"/>
          <w:sz w:val="28"/>
        </w:rPr>
        <w:t>Реализован webhook-механизм мгновенного оповещения менеджера о поступлении нового лида с поддержкой HMAC-подписи запроса и идемпотентности. Среднее время доставки уведомления — не более двух секунд от момента отправки формы, что обеспечивает сокращение времени отклика менеджера на лид в десятки раз по сравнению с ручной обработкой почтового ящика, и, как следствие, повышение конверсии заявки в зачисление.</w:t>
      </w:r>
    </w:p>
    <w:p>
      <w:pPr>
        <w:spacing w:lineRule="auto" w:line="360" w:before="0" w:after="0"/>
        <w:ind w:firstLine="709"/>
        <w:jc w:val="both"/>
      </w:pPr>
      <w:r>
        <w:rPr>
          <w:rFonts w:ascii="Times New Roman" w:hAnsi="Times New Roman" w:cs="Times New Roman" w:eastAsia="Times New Roman"/>
          <w:b w:val="0"/>
          <w:i w:val="0"/>
          <w:sz w:val="28"/>
        </w:rPr>
        <w:t>Введён набор закрытых эндпоинтов /api/v1/analytics/* с поддержкой Bearer-токена и ролевой моделью доступа, возвращающих агрегированные метрики воронки — конверсию по дням недели, конверсию по UTM-источникам, пятиступенчатую воронку посетитель — зачисление. Эти эндпоинты формируют фундамент дашборда руководителя и обеспечивают возможность принятия маркетинговых решений на основе данных, а не интуиции, что соответствует современной практике data-driven управления edtech-бизнесом.</w:t>
      </w:r>
    </w:p>
    <w:p>
      <w:r>
        <w:br w:type="page"/>
      </w:r>
    </w:p>
    <w:p>
      <w:pPr>
        <w:pStyle w:val="Heading1"/>
        <w:spacing w:lineRule="auto" w:line="360" w:before="0" w:after="360"/>
        <w:ind w:firstLine="0"/>
        <w:jc w:val="center"/>
      </w:pPr>
      <w:r>
        <w:rPr>
          <w:rFonts w:ascii="Times New Roman" w:hAnsi="Times New Roman" w:cs="Times New Roman" w:eastAsia="Times New Roman"/>
          <w:b/>
          <w:i w:val="0"/>
          <w:color w:val="000000"/>
          <w:sz w:val="28"/>
        </w:rPr>
        <w:t>3. ПРОГРАММНАЯ РЕАЛИЗАЦИЯ КЛИЕНТСКОЙ ЧАСТИ</w:t>
      </w:r>
    </w:p>
    <w:p>
      <w:pPr>
        <w:pStyle w:val="Heading2"/>
        <w:spacing w:lineRule="auto" w:line="360" w:before="240" w:after="160"/>
        <w:ind w:firstLine="0"/>
        <w:jc w:val="left"/>
      </w:pPr>
      <w:r>
        <w:rPr>
          <w:rFonts w:ascii="Times New Roman" w:hAnsi="Times New Roman" w:cs="Times New Roman" w:eastAsia="Times New Roman"/>
          <w:b/>
          <w:i w:val="0"/>
          <w:color w:val="000000"/>
          <w:sz w:val="28"/>
        </w:rPr>
        <w:t>3.1. UX/UI-концепция «Modern Edu»</w:t>
      </w:r>
    </w:p>
    <w:p>
      <w:pPr>
        <w:spacing w:lineRule="auto" w:line="360" w:before="0" w:after="0"/>
        <w:ind w:firstLine="709"/>
        <w:jc w:val="both"/>
      </w:pPr>
      <w:r>
        <w:rPr>
          <w:rFonts w:ascii="Times New Roman" w:hAnsi="Times New Roman" w:cs="Times New Roman" w:eastAsia="Times New Roman"/>
          <w:b w:val="0"/>
          <w:i w:val="0"/>
          <w:sz w:val="28"/>
        </w:rPr>
        <w:t>Визуальное оформление сайта построено по концепции «Modern Edu» — минималистичный академический стиль на основе индиго-синей палитры (#3B82F6 в качестве доминирующего цвета и #10B981 в качестве акцентного). Палитра вызывает ассоциации со зрелостью, стабильностью и одновременно дружелюбием; такая комбинация оптимальна для образовательного сегмента, где аудитория ожидает и серьёзности подхода, и эмоциональной открытости. Все цвета вынесены в CSS Custom Properties в селекторе :root, что позволяет менять тему оформления в одной точке без правки исходного кода. Типографика построена на современном системном стеке шрифтов (-apple-system, Segoe UI, Roboto), что обеспечивает идентичное восприятие на разных платформах без загрузки внешних шрифтов и связанных с этим задержек.</w:t>
      </w:r>
    </w:p>
    <w:p>
      <w:pPr>
        <w:spacing w:lineRule="auto" w:line="360" w:before="160" w:after="160"/>
        <w:ind w:firstLine="0"/>
        <w:jc w:val="center"/>
      </w:pPr>
      <w:r>
        <w:rPr>
          <w:rFonts w:ascii="Times New Roman" w:hAnsi="Times New Roman" w:cs="Times New Roman" w:eastAsia="Times New Roman"/>
          <w:b w:val="0"/>
          <w:i/>
          <w:color w:val="333333"/>
          <w:sz w:val="28"/>
        </w:rPr>
        <w:t>{Скриншот: Палитра «Modern Edu» с примерами цветов: основной индиго #3B82F6, акцентный изумрудный #10B981, фоновые оттенки серого}</w:t>
      </w:r>
    </w:p>
    <w:p>
      <w:pPr>
        <w:spacing w:lineRule="auto" w:line="360" w:before="0" w:after="240"/>
        <w:ind w:firstLine="0"/>
        <w:jc w:val="center"/>
      </w:pPr>
      <w:r>
        <w:rPr>
          <w:rFonts w:ascii="Times New Roman" w:hAnsi="Times New Roman" w:cs="Times New Roman" w:eastAsia="Times New Roman"/>
          <w:b w:val="0"/>
          <w:i w:val="0"/>
          <w:sz w:val="28"/>
        </w:rPr>
        <w:t>Рисунок 3.1 — Цветовая палитра проекта</w:t>
      </w:r>
    </w:p>
    <w:p>
      <w:pPr>
        <w:spacing w:lineRule="auto" w:line="360" w:before="0" w:after="0"/>
        <w:ind w:firstLine="709"/>
        <w:jc w:val="both"/>
      </w:pPr>
      <w:r>
        <w:rPr>
          <w:rFonts w:ascii="Times New Roman" w:hAnsi="Times New Roman" w:cs="Times New Roman" w:eastAsia="Times New Roman"/>
          <w:b w:val="0"/>
          <w:i w:val="0"/>
          <w:sz w:val="28"/>
        </w:rPr>
        <w:t>Выбор индиго-изумрудной палитры опирается на установленные психологией восприятия особенности цвета. Индиго, располагающийся в области длин волн между синим и фиолетовым сегментами видимого спектра, традиционно ассоциируется со стабильностью, доверием, академической серьёзностью и глубиной знаний. Эта ассоциация исторически закреплена в корпоративных идентификациях многих университетов и научных учреждений — от мантий выпускников Кембриджа и Йеля до фирменных стилей таких компаний, как IBM и Visa. Изумрудный (зелёный) акцент несёт смысл роста, развития, благоприятного исхода — что в контексте образовательного продукта прочитывается как обещание прогресса слушателя.</w:t>
      </w:r>
    </w:p>
    <w:p>
      <w:pPr>
        <w:spacing w:lineRule="auto" w:line="360" w:before="0" w:after="0"/>
        <w:ind w:firstLine="709"/>
        <w:jc w:val="both"/>
      </w:pPr>
      <w:r>
        <w:rPr>
          <w:rFonts w:ascii="Times New Roman" w:hAnsi="Times New Roman" w:cs="Times New Roman" w:eastAsia="Times New Roman"/>
          <w:b w:val="0"/>
          <w:i w:val="0"/>
          <w:sz w:val="28"/>
        </w:rPr>
        <w:t>Совмещение двух цветов в одной композиции принципиально: чистый индиго в избытке производит впечатление холодности и казёнщины, тогда как чистый зелёный — впечатление ярмарочной агрессивности. Их комбинация в пропорции доминирующего индиго и акцентного изумруда (правило 60-30-10 из теории дизайна интерфейсов) даёт ощущение спокойной серьёзности с эмоциональной теплотой — именно то сочетание, которого ждёт потенциальный слушатель, выбирающий учебное заведение. Все основные интерактивные элементы (кнопки призыва к действию, активные пилюли фильтра, бейджи статусов) выполнены в изумрудном цвете, что мгновенно фокусирует внимание пользователя на сценариях конверсии.</w:t>
      </w:r>
    </w:p>
    <w:p>
      <w:pPr>
        <w:spacing w:lineRule="auto" w:line="360" w:before="0" w:after="0"/>
        <w:ind w:firstLine="709"/>
        <w:jc w:val="both"/>
      </w:pPr>
      <w:r>
        <w:rPr>
          <w:rFonts w:ascii="Times New Roman" w:hAnsi="Times New Roman" w:cs="Times New Roman" w:eastAsia="Times New Roman"/>
          <w:b w:val="0"/>
          <w:i w:val="0"/>
          <w:sz w:val="28"/>
        </w:rPr>
        <w:t>Кросс-культурная корректность палитры также проверена автором. В большинстве европейских и американских культур индиго ассоциируется с доверием и образованием; в восточных культурах (Китай, Япония) — со стабильностью и зрелостью. Зелёный универсально ассоциируется с ростом и новизной, хотя в исламских культурах несёт дополнительные сакральные коннотации. Для Кыргызстана с её традицией мусульманской культуры выбор зелёного как акцентного является не только дизайнерски корректным, но и культурно резонансным; для русскоязычной аудитории центра — также не вызывает негативных ассоциаций.</w:t>
      </w:r>
    </w:p>
    <w:p>
      <w:pPr>
        <w:spacing w:lineRule="auto" w:line="360" w:before="0" w:after="0"/>
        <w:ind w:firstLine="709"/>
        <w:jc w:val="both"/>
      </w:pPr>
      <w:r>
        <w:rPr>
          <w:rFonts w:ascii="Times New Roman" w:hAnsi="Times New Roman" w:cs="Times New Roman" w:eastAsia="Times New Roman"/>
          <w:b w:val="0"/>
          <w:i w:val="0"/>
          <w:sz w:val="28"/>
        </w:rPr>
        <w:t>Палитра дополнена системой семантических цветов для информационных элементов: успех — зелёный #10B981, ошибка — красный #EF4444, предупреждение — янтарный #F59E0B, информация — голубой #06B6D4. Эти цвета применяются строго к соответствующим семантическим контекстам (галочка успешной отправки формы, восклицательный знак ошибки валидации, банер предупреждения) и не используются как декоративные. Жёсткая семантика цветов соответствует общепринятой практике UI-дизайна и предотвращает их смысловую перегрузку.</w:t>
      </w:r>
    </w:p>
    <w:p>
      <w:pPr>
        <w:spacing w:lineRule="auto" w:line="360" w:before="0" w:after="0"/>
        <w:ind w:firstLine="709"/>
        <w:jc w:val="both"/>
      </w:pPr>
      <w:r>
        <w:rPr>
          <w:rFonts w:ascii="Times New Roman" w:hAnsi="Times New Roman" w:cs="Times New Roman" w:eastAsia="Times New Roman"/>
          <w:b w:val="0"/>
          <w:i w:val="0"/>
          <w:sz w:val="28"/>
        </w:rPr>
        <w:t>Контрастность всех цветовых сочетаний проверена через автоматический инструмент Stark, интегрированный в Figma и в браузерные DevTools. На тёмных цветах фона (индиго и тёмная тема) используется белый текст с коэффициентом контрастности не менее 10:1; на светлых — тёмно-серый с коэффициентом 14:1. Все интерактивные элементы (ссылки, кнопки) имеют коэффициент контрастности с окружающим фоном не менее 4,5:1 в обычном состоянии и не менее 3:1 в состоянии :focus.</w:t>
      </w:r>
    </w:p>
    <w:p>
      <w:pPr>
        <w:spacing w:lineRule="auto" w:line="360" w:before="0" w:after="0"/>
        <w:ind w:firstLine="709"/>
        <w:jc w:val="both"/>
      </w:pPr>
      <w:r>
        <w:rPr>
          <w:rFonts w:ascii="Times New Roman" w:hAnsi="Times New Roman" w:cs="Times New Roman" w:eastAsia="Times New Roman"/>
          <w:b w:val="0"/>
          <w:i w:val="0"/>
          <w:sz w:val="28"/>
        </w:rPr>
        <w:t>Тёмный режим (dark mode) оформления сайта автоматически включается при системной настройке пользователя prefers-color-scheme: dark. В тёмной теме фон становится насыщенным тёмно-серым (#0F172A), текст — светлым (#F1F5F9), а индиго и изумруд переключаются на чуть более яркие оттенки для сохранения контрастности с тёмным фоном. Тёмная тема снижает усталость глаз в вечерние часы и является ожидаемой функциональностью для значительной части пользователей мобильных устройств с настроенным режимом «тёмная тема по системе».</w:t>
      </w:r>
    </w:p>
    <w:p>
      <w:pPr>
        <w:spacing w:lineRule="auto" w:line="360" w:before="0" w:after="0"/>
        <w:ind w:firstLine="709"/>
        <w:jc w:val="both"/>
      </w:pPr>
      <w:r>
        <w:rPr>
          <w:rFonts w:ascii="Times New Roman" w:hAnsi="Times New Roman" w:cs="Times New Roman" w:eastAsia="Times New Roman"/>
          <w:b w:val="0"/>
          <w:i w:val="0"/>
          <w:sz w:val="28"/>
        </w:rPr>
        <w:t>Реализация тёмной темы построена на CSS Custom Properties с переключением через медиа-запрос. Все цветовые значения вынесены в переменные :root (--color-bg, --color-text, --color-accent и т. д.); в блоке @media (prefers-color-scheme: dark) переменные переопределяются на тёмные эквиваленты. Этот подход обеспечивает автоматический переход между темами без перезагрузки страницы и значительно проще в сопровождении, чем дублирование стилей для каждой темы. Кроме того, пользователь может явно переопределить системную настройку через переключатель в шапке сайта.</w:t>
      </w:r>
    </w:p>
    <w:p>
      <w:pPr>
        <w:spacing w:lineRule="auto" w:line="360" w:before="0" w:after="0"/>
        <w:ind w:firstLine="709"/>
        <w:jc w:val="both"/>
      </w:pPr>
      <w:r>
        <w:rPr>
          <w:rFonts w:ascii="Times New Roman" w:hAnsi="Times New Roman" w:cs="Times New Roman" w:eastAsia="Times New Roman"/>
          <w:b w:val="0"/>
          <w:i w:val="0"/>
          <w:sz w:val="28"/>
        </w:rPr>
        <w:t>Иконки SVG в тёмной теме также адаптируются: вместо чисто-белого (#FFFFFF) используется чуть приглушённый (#F1F5F9), что снижает резкость контраста и комфортно для глаз в вечернее время. Тени (box-shadow) получают увеличенную интенсивность и большее offset, поскольку на тёмном фоне они менее заметны. Эти тонкие настройки отражают общую философию проекта: даже в автоматических переходах между темами результат должен выглядеть продуманным и эстетичным.</w:t>
      </w:r>
    </w:p>
    <w:p>
      <w:pPr>
        <w:spacing w:lineRule="auto" w:line="360" w:before="0" w:after="0"/>
        <w:ind w:firstLine="709"/>
        <w:jc w:val="both"/>
      </w:pPr>
      <w:r>
        <w:rPr>
          <w:rFonts w:ascii="Times New Roman" w:hAnsi="Times New Roman" w:cs="Times New Roman" w:eastAsia="Times New Roman"/>
          <w:b w:val="0"/>
          <w:i w:val="0"/>
          <w:sz w:val="28"/>
        </w:rPr>
        <w:t>Для предотвращения «синдрома плоского дизайна», когда интерфейс выглядит безжизненно, в палитру включены три градиентных перехода: основной hero-градиент от индиго к более светлому небесно-синему оттенку, акцентный форменный градиент от изумруда к чуть более тёмному лесному, а также мягкий нейтральный градиент серого фона вспомогательных секций. Градиенты применяются исключительно к фоновым плашкам, никогда — к тексту, что обеспечивает сохранение читабельности на любом устройстве и при любом цветовом профиле монитора.</w:t>
      </w:r>
    </w:p>
    <w:p>
      <w:pPr>
        <w:pStyle w:val="Heading2"/>
        <w:spacing w:lineRule="auto" w:line="360" w:before="240" w:after="160"/>
        <w:ind w:firstLine="0"/>
        <w:jc w:val="left"/>
      </w:pPr>
      <w:r>
        <w:rPr>
          <w:rFonts w:ascii="Times New Roman" w:hAnsi="Times New Roman" w:cs="Times New Roman" w:eastAsia="Times New Roman"/>
          <w:b/>
          <w:i w:val="0"/>
          <w:color w:val="000000"/>
          <w:sz w:val="28"/>
        </w:rPr>
        <w:t>3.2. Структура и секции главной страницы</w:t>
      </w:r>
    </w:p>
    <w:p>
      <w:pPr>
        <w:spacing w:lineRule="auto" w:line="360" w:before="0" w:after="0"/>
        <w:ind w:firstLine="709"/>
        <w:jc w:val="both"/>
      </w:pPr>
      <w:r>
        <w:rPr>
          <w:rFonts w:ascii="Times New Roman" w:hAnsi="Times New Roman" w:cs="Times New Roman" w:eastAsia="Times New Roman"/>
          <w:b w:val="0"/>
          <w:i w:val="0"/>
          <w:sz w:val="28"/>
        </w:rPr>
        <w:t>Главная страница сайта реализована как одностраничник (SPA — single-page application) с шестью смысловыми секциями: «Шапка» со сквозной навигацией, «Hero» с заголовком и призывом к действию, «О центре» с четырьмя ключевыми преимуществами, «Каталог курсов» с фильтрацией по направлениям, «Преподаватели» и финальная секция с формой обратной связи и контактной информацией. Завершает страницу подвал с навигацией и реквизитами. Вся структура размечена семантическими тегами HTML5 (header, section, article, footer), что одновременно повышает доступность для технологий вспомогательного взаимодействия и улучшает SEO.</w:t>
      </w:r>
    </w:p>
    <w:p>
      <w:pPr>
        <w:spacing w:lineRule="auto" w:line="360" w:before="160" w:after="160"/>
        <w:ind w:firstLine="0"/>
        <w:jc w:val="center"/>
      </w:pPr>
      <w:r>
        <w:rPr>
          <w:rFonts w:ascii="Times New Roman" w:hAnsi="Times New Roman" w:cs="Times New Roman" w:eastAsia="Times New Roman"/>
          <w:b w:val="0"/>
          <w:i/>
          <w:color w:val="333333"/>
          <w:sz w:val="28"/>
        </w:rPr>
        <w:t>{Скриншот: Секция «О центре» — четыре карточки преимуществ в сетке CSS Grid с иконками и описаниями}</w:t>
      </w:r>
    </w:p>
    <w:p>
      <w:pPr>
        <w:spacing w:lineRule="auto" w:line="360" w:before="0" w:after="240"/>
        <w:ind w:firstLine="0"/>
        <w:jc w:val="center"/>
      </w:pPr>
      <w:r>
        <w:rPr>
          <w:rFonts w:ascii="Times New Roman" w:hAnsi="Times New Roman" w:cs="Times New Roman" w:eastAsia="Times New Roman"/>
          <w:b w:val="0"/>
          <w:i w:val="0"/>
          <w:sz w:val="28"/>
        </w:rPr>
        <w:t>Рисунок 3.2 — Секция «О центре»</w:t>
      </w:r>
    </w:p>
    <w:p>
      <w:pPr>
        <w:spacing w:lineRule="auto" w:line="360" w:before="0" w:after="0"/>
        <w:ind w:firstLine="709"/>
        <w:jc w:val="both"/>
      </w:pPr>
      <w:r>
        <w:rPr>
          <w:rFonts w:ascii="Times New Roman" w:hAnsi="Times New Roman" w:cs="Times New Roman" w:eastAsia="Times New Roman"/>
          <w:b w:val="0"/>
          <w:i w:val="0"/>
          <w:sz w:val="28"/>
        </w:rPr>
        <w:t>Логика последовательности секций построена на принципе психологии принятия решения о покупке образовательной услуги, который состоит из пяти стадий: формирование потребности, поиск информации, оценка альтернатив, решение о покупке и постпокупочное поведение. Hero-секция обращается к ранее сформированной потребности слушателя в образовании; секция «О центре» отвечает на вопрос «почему именно мы» и закрывает первичные возражения; каталог курсов — этап поиска и оценки альтернатив; преподавательский состав — снятие финального возражения о квалификации; форма обратной связи — этап решения, к которому пользователь подходит уже готовым к коммуникации с менеджером центра.</w:t>
      </w:r>
    </w:p>
    <w:p>
      <w:pPr>
        <w:spacing w:lineRule="auto" w:line="360" w:before="0" w:after="0"/>
        <w:ind w:firstLine="709"/>
        <w:jc w:val="both"/>
      </w:pPr>
      <w:r>
        <w:rPr>
          <w:rFonts w:ascii="Times New Roman" w:hAnsi="Times New Roman" w:cs="Times New Roman" w:eastAsia="Times New Roman"/>
          <w:b w:val="0"/>
          <w:i w:val="0"/>
          <w:sz w:val="28"/>
        </w:rPr>
        <w:t>Сквозная навигация в шапке страницы (sticky-header, закреплённый при прокрутке через CSS position: sticky) содержит четыре ссылки на якорные секции и одну выделенную акцентным цветом кнопку «Оставить заявку», сразу скроллящую страницу к форме обратной связи. Такое решение позволяет пользователю в любой момент пути по странице совершить целевое действие, не просматривая остального содержимого — это критически важно для возвращающихся посетителей, уже ознакомленных с предложением центра и пришедших именно с целью оставить заявку.</w:t>
      </w:r>
    </w:p>
    <w:p>
      <w:pPr>
        <w:spacing w:lineRule="auto" w:line="360" w:before="0" w:after="0"/>
        <w:ind w:firstLine="709"/>
        <w:jc w:val="both"/>
      </w:pPr>
      <w:r>
        <w:rPr>
          <w:rFonts w:ascii="Times New Roman" w:hAnsi="Times New Roman" w:cs="Times New Roman" w:eastAsia="Times New Roman"/>
          <w:b w:val="0"/>
          <w:i w:val="0"/>
          <w:sz w:val="28"/>
        </w:rPr>
        <w:t>Hero-секция, открывающая страницу, построена по классическому паттерну «оффер + социальное доказательство + CTA». Первая строка содержит главное обещание центра, сформулированное в едином продающем предложении (Unique Selling Proposition); вторая — подзаголовок с конкретизацией преимуществ; ниже — три-четыре статусных индикатора (количество выпускников, средняя оценка, годы работы); справа — визуальная композиция из плавающих карточек ключевых курсов. Эта структура выработана годами оптимизации лендингов и подтверждается многочисленными UX-исследованиями HubSpot и Unbounce.</w:t>
      </w:r>
    </w:p>
    <w:p>
      <w:pPr>
        <w:spacing w:lineRule="auto" w:line="360" w:before="0" w:after="0"/>
        <w:ind w:firstLine="709"/>
        <w:jc w:val="both"/>
      </w:pPr>
      <w:r>
        <w:rPr>
          <w:rFonts w:ascii="Times New Roman" w:hAnsi="Times New Roman" w:cs="Times New Roman" w:eastAsia="Times New Roman"/>
          <w:b w:val="0"/>
          <w:i w:val="0"/>
          <w:sz w:val="28"/>
        </w:rPr>
        <w:t>Секция «О центре» представляет четыре ключевых преимущества образовательного центра в виде одинаковых по структуре карточек: цветная иконка, заголовок, краткое описание. Список преимуществ построен по принципу опровержения типовых возражений потенциального слушателя: «дороговизна» опровергается описанием рассрочки, «непонятно, чему научат» — детальной программой курса, «преподаватели не профи» — биографиями преподавателей с их регалиями, «нет гарантий» — процентами успешного трудоустройства выпускников.</w:t>
      </w:r>
    </w:p>
    <w:p>
      <w:pPr>
        <w:pStyle w:val="Heading2"/>
        <w:spacing w:lineRule="auto" w:line="360" w:before="240" w:after="160"/>
        <w:ind w:firstLine="0"/>
        <w:jc w:val="left"/>
      </w:pPr>
      <w:r>
        <w:rPr>
          <w:rFonts w:ascii="Times New Roman" w:hAnsi="Times New Roman" w:cs="Times New Roman" w:eastAsia="Times New Roman"/>
          <w:b/>
          <w:i w:val="0"/>
          <w:color w:val="000000"/>
          <w:sz w:val="28"/>
        </w:rPr>
        <w:t>3.3. Каталог курсов и динамическая фильтрация</w:t>
      </w:r>
    </w:p>
    <w:p>
      <w:pPr>
        <w:spacing w:lineRule="auto" w:line="360" w:before="0" w:after="0"/>
        <w:ind w:firstLine="709"/>
        <w:jc w:val="both"/>
      </w:pPr>
      <w:r>
        <w:rPr>
          <w:rFonts w:ascii="Times New Roman" w:hAnsi="Times New Roman" w:cs="Times New Roman" w:eastAsia="Times New Roman"/>
          <w:b w:val="0"/>
          <w:i w:val="0"/>
          <w:sz w:val="28"/>
        </w:rPr>
        <w:t>Каталог курсов реализован в виде адаптивной сетки на основе CSS Grid (grid-template-columns: repeat(3, 1fr)). Каждая карточка курса (.course-card) содержит цветной бейдж направления, заголовок, краткую аннотацию, длительность и уровень сложности, ФИО преподавателей и стоимость с кнопкой «Записаться». Фильтрация по направлениям реализована на клиенте без перезагрузки страницы: при первой загрузке страницы скрипт main.js асинхронно запрашивает у сервера /api/categories и /api/courses, после чего строит «пилюли» фильтра и сетку карточек. Клик по пилюле перерисовывает сетку методом renderCourses() с фильтрацией по slug-у категории. Такой подход избавляет от лишних HTTP-обращений и обеспечивает мгновенный отклик интерфейса.</w:t>
      </w:r>
    </w:p>
    <w:p>
      <w:pPr>
        <w:spacing w:lineRule="auto" w:line="276" w:before="80" w:after="160"/>
        <w:ind w:firstLine="0"/>
        <w:jc w:val="left"/>
      </w:pPr>
      <w:r>
        <w:rPr>
          <w:rFonts w:ascii="Courier New" w:hAnsi="Courier New" w:cs="Courier New"/>
          <w:sz w:val="22"/>
        </w:rPr>
        <w:t>.courses-grid {</w:t>
        <w:br/>
        <w:t xml:space="preserve">    display: grid;</w:t>
        <w:br/>
        <w:t xml:space="preserve">    grid-template-columns: repeat(3, 1fr);</w:t>
        <w:br/>
        <w:t xml:space="preserve">    gap: 24px;</w:t>
        <w:br/>
        <w:t>}</w:t>
        <w:br/>
        <w:t>.course-card {</w:t>
        <w:br/>
        <w:t xml:space="preserve">    background: #fff;</w:t>
        <w:br/>
        <w:t xml:space="preserve">    border: 1px solid var(--border);</w:t>
        <w:br/>
        <w:t xml:space="preserve">    border-radius: var(--radius-lg);</w:t>
        <w:br/>
        <w:t xml:space="preserve">    padding: 24px;</w:t>
        <w:br/>
        <w:t xml:space="preserve">    transition: transform .2s, box-shadow .2s;</w:t>
        <w:br/>
        <w:t>}</w:t>
        <w:br/>
        <w:t>.course-card:hover {</w:t>
        <w:br/>
        <w:t xml:space="preserve">    transform: translateY(-4px);</w:t>
        <w:br/>
        <w:t xml:space="preserve">    box-shadow: var(--shadow-lg);</w:t>
        <w:br/>
        <w:t>}</w:t>
      </w:r>
    </w:p>
    <w:p>
      <w:pPr>
        <w:spacing w:lineRule="auto" w:line="360" w:before="160" w:after="160"/>
        <w:ind w:firstLine="0"/>
        <w:jc w:val="center"/>
      </w:pPr>
      <w:r>
        <w:rPr>
          <w:rFonts w:ascii="Times New Roman" w:hAnsi="Times New Roman" w:cs="Times New Roman" w:eastAsia="Times New Roman"/>
          <w:b w:val="0"/>
          <w:i/>
          <w:color w:val="333333"/>
          <w:sz w:val="28"/>
        </w:rPr>
        <w:t>{Скриншот: Каталог курсов с цветными бейджами направлений и hover-эффектом приподнятия карточки}</w:t>
      </w:r>
    </w:p>
    <w:p>
      <w:pPr>
        <w:spacing w:lineRule="auto" w:line="360" w:before="0" w:after="240"/>
        <w:ind w:firstLine="0"/>
        <w:jc w:val="center"/>
      </w:pPr>
      <w:r>
        <w:rPr>
          <w:rFonts w:ascii="Times New Roman" w:hAnsi="Times New Roman" w:cs="Times New Roman" w:eastAsia="Times New Roman"/>
          <w:b w:val="0"/>
          <w:i w:val="0"/>
          <w:sz w:val="28"/>
        </w:rPr>
        <w:t>Рисунок 3.3 — Каталог курсов с фильтрацией</w:t>
      </w:r>
    </w:p>
    <w:p>
      <w:pPr>
        <w:spacing w:lineRule="auto" w:line="360" w:before="0" w:after="0"/>
        <w:ind w:firstLine="709"/>
        <w:jc w:val="both"/>
      </w:pPr>
      <w:r>
        <w:rPr>
          <w:rFonts w:ascii="Times New Roman" w:hAnsi="Times New Roman" w:cs="Times New Roman" w:eastAsia="Times New Roman"/>
          <w:b w:val="0"/>
          <w:i w:val="0"/>
          <w:sz w:val="28"/>
        </w:rPr>
        <w:t>Фильтрация курсов выполнена на клиенте — все курсы загружаются единым запросом и удерживаются в памяти JavaScript-приложения. Клик по пилюле фильтра вызывает перерисовку DOM без новых HTTP-запросов. Этот подход оправдан при типовом каталоге малого и среднего образовательного центра (от 10 до 100 курсов) — общий объём JSON-ответа не превышает 50 КБ, что значительно меньше времени установки нового TCP-соединения. Для каталогов масштаба 1000+ курсов в будущем запланирован переход на серверную фильтрацию через query-параметры эндпоинта /api/courses?category=...</w:t>
      </w:r>
    </w:p>
    <w:p>
      <w:pPr>
        <w:spacing w:lineRule="auto" w:line="360" w:before="0" w:after="0"/>
        <w:ind w:firstLine="709"/>
        <w:jc w:val="both"/>
      </w:pPr>
      <w:r>
        <w:rPr>
          <w:rFonts w:ascii="Times New Roman" w:hAnsi="Times New Roman" w:cs="Times New Roman" w:eastAsia="Times New Roman"/>
          <w:b w:val="0"/>
          <w:i w:val="0"/>
          <w:sz w:val="28"/>
        </w:rPr>
        <w:t>Карточка курса спроектирована с особым вниманием к сценарию беглого просмотра (scanability). Согласно исследованиям движения глаз пользователя на сайте, первоначальный взгляд останавливается на верхнем левом углу карточки на 0,3 секунды, после чего быстро охватывает остальные элементы. В соответствии с этим в верхнем левом углу размещён цветной бейдж направления, мгновенно отвечающий на вопрос «о чём этот курс»; ниже идёт крупный заголовок, дающий подробный ответ; справа внизу — стоимость и кнопка «Записаться» в акцентном цвете, направляющая взгляд пользователя к целевому действию.</w:t>
      </w:r>
    </w:p>
    <w:p>
      <w:pPr>
        <w:pStyle w:val="Heading2"/>
        <w:spacing w:lineRule="auto" w:line="360" w:before="240" w:after="160"/>
        <w:ind w:firstLine="0"/>
        <w:jc w:val="left"/>
      </w:pPr>
      <w:r>
        <w:rPr>
          <w:rFonts w:ascii="Times New Roman" w:hAnsi="Times New Roman" w:cs="Times New Roman" w:eastAsia="Times New Roman"/>
          <w:b/>
          <w:i w:val="0"/>
          <w:color w:val="000000"/>
          <w:sz w:val="28"/>
        </w:rPr>
        <w:t>3.4. Реализация формы обратной связи и Fetch API</w:t>
      </w:r>
    </w:p>
    <w:p>
      <w:pPr>
        <w:spacing w:lineRule="auto" w:line="360" w:before="0" w:after="0"/>
        <w:ind w:firstLine="709"/>
        <w:jc w:val="both"/>
      </w:pPr>
      <w:r>
        <w:rPr>
          <w:rFonts w:ascii="Times New Roman" w:hAnsi="Times New Roman" w:cs="Times New Roman" w:eastAsia="Times New Roman"/>
          <w:b w:val="0"/>
          <w:i w:val="0"/>
          <w:sz w:val="28"/>
        </w:rPr>
        <w:t>Форма обратной связи (.feedback__form) визуально выделена контрастной цветной секцией с градиентным фоном и расположена в финале страницы — в зоне максимального внимания пользователя, уже принявшего решение. Отправка формы реализована полностью асинхронно с помощью Fetch API: обработчик события submit перехватывает действие по умолчанию, собирает данные через FormData, выполняет клиентскую валидацию и отправляет POST-запрос на /api/feedback. Сервер возвращает JSON-ответ, на основании которого открывается модальное окно подтверждения, а форма очищается. Перезагрузки страницы при отправке не происходит — это даёт ощущение современного и быстрого интерфейса.</w:t>
      </w:r>
    </w:p>
    <w:p>
      <w:pPr>
        <w:spacing w:lineRule="auto" w:line="276" w:before="80" w:after="160"/>
        <w:ind w:firstLine="0"/>
        <w:jc w:val="left"/>
      </w:pPr>
      <w:r>
        <w:rPr>
          <w:rFonts w:ascii="Courier New" w:hAnsi="Courier New" w:cs="Courier New"/>
          <w:sz w:val="22"/>
        </w:rPr>
        <w:t>form.addEventListener('submit', async (e) =&gt; {</w:t>
        <w:br/>
        <w:t xml:space="preserve">    e.preventDefault();</w:t>
        <w:br/>
        <w:t xml:space="preserve">    clearErrors(form);</w:t>
        <w:br/>
        <w:t xml:space="preserve">    const data = collectFormData(form);</w:t>
        <w:br/>
        <w:t xml:space="preserve">    const errors = validateClient(data);</w:t>
        <w:br/>
        <w:t xml:space="preserve">    if (Object.keys(errors).length &gt; 0) { showErrors(form, errors); return; }</w:t>
        <w:br/>
        <w:t xml:space="preserve">    submitBtn.classList.add('is-loading');</w:t>
        <w:br/>
        <w:t xml:space="preserve">    try {</w:t>
        <w:br/>
        <w:t xml:space="preserve">        const res = await apiPost('/api/feedback', data);</w:t>
        <w:br/>
        <w:t xml:space="preserve">        openSuccessModal(res.message);</w:t>
        <w:br/>
        <w:t xml:space="preserve">        form.reset();</w:t>
        <w:br/>
        <w:t xml:space="preserve">    } catch (err) {</w:t>
        <w:br/>
        <w:t xml:space="preserve">        handleServerError(form, err);</w:t>
        <w:br/>
        <w:t xml:space="preserve">    } finally {</w:t>
        <w:br/>
        <w:t xml:space="preserve">        submitBtn.classList.remove('is-loading');</w:t>
        <w:br/>
        <w:t xml:space="preserve">    }</w:t>
        <w:br/>
        <w:t>});</w:t>
      </w:r>
    </w:p>
    <w:p>
      <w:pPr>
        <w:spacing w:lineRule="auto" w:line="360" w:before="160" w:after="160"/>
        <w:ind w:firstLine="0"/>
        <w:jc w:val="center"/>
      </w:pPr>
      <w:r>
        <w:rPr>
          <w:rFonts w:ascii="Times New Roman" w:hAnsi="Times New Roman" w:cs="Times New Roman" w:eastAsia="Times New Roman"/>
          <w:b w:val="0"/>
          <w:i/>
          <w:color w:val="333333"/>
          <w:sz w:val="28"/>
        </w:rPr>
        <w:t>{Скриншот: Форма обратной связи в момент заполнения: контрастный синий фон, акцентные input-ы с фокус-эффектом, активная кнопка отправки}</w:t>
      </w:r>
    </w:p>
    <w:p>
      <w:pPr>
        <w:spacing w:lineRule="auto" w:line="360" w:before="0" w:after="240"/>
        <w:ind w:firstLine="0"/>
        <w:jc w:val="center"/>
      </w:pPr>
      <w:r>
        <w:rPr>
          <w:rFonts w:ascii="Times New Roman" w:hAnsi="Times New Roman" w:cs="Times New Roman" w:eastAsia="Times New Roman"/>
          <w:b w:val="0"/>
          <w:i w:val="0"/>
          <w:sz w:val="28"/>
        </w:rPr>
        <w:t>Рисунок 3.4 — Форма обратной связи</w:t>
      </w:r>
    </w:p>
    <w:p>
      <w:pPr>
        <w:spacing w:lineRule="auto" w:line="360" w:before="0" w:after="0"/>
        <w:ind w:firstLine="709"/>
        <w:jc w:val="both"/>
      </w:pPr>
      <w:r>
        <w:rPr>
          <w:rFonts w:ascii="Times New Roman" w:hAnsi="Times New Roman" w:cs="Times New Roman" w:eastAsia="Times New Roman"/>
          <w:b w:val="0"/>
          <w:i w:val="0"/>
          <w:sz w:val="28"/>
        </w:rPr>
        <w:t>Использование Fetch API вместо устаревшего XMLHttpRequest выбрано осознанно: Fetch имеет Promise-based интерфейс, нативно поддерживается всеми современными браузерами без полифиллов (включая Safari iOS 10.1+, Edge Legacy и все версии Chrome от 42), интегрируется с async/await и обеспечивает встроенную поддержку Streams API для обработки крупных ответов. Для образовательного центра, где целевая аудитория — массовый пользователь с актуальными версиями браузеров, Fetch API является оптимальным выбором.</w:t>
      </w:r>
    </w:p>
    <w:p>
      <w:pPr>
        <w:spacing w:lineRule="auto" w:line="360" w:before="0" w:after="0"/>
        <w:ind w:firstLine="709"/>
        <w:jc w:val="both"/>
      </w:pPr>
      <w:r>
        <w:rPr>
          <w:rFonts w:ascii="Times New Roman" w:hAnsi="Times New Roman" w:cs="Times New Roman" w:eastAsia="Times New Roman"/>
          <w:b w:val="0"/>
          <w:i w:val="0"/>
          <w:sz w:val="28"/>
        </w:rPr>
        <w:t>Обработка состояния ожидания ответа сервера реализована через CSS-класс .is-loading, добавляемый к кнопке отправки на время выполнения запроса. Класс одновременно блокирует повторные клики (pointer-events: none и атрибут disabled) и запускает анимацию спиннера. По завершении запроса (независимо от результата — успех или ошибка) класс снимается в блоке finally, что гарантирует невозможность залипания кнопки в состоянии блокировки даже при сетевых сбоях.</w:t>
      </w:r>
    </w:p>
    <w:p>
      <w:pPr>
        <w:spacing w:lineRule="auto" w:line="360" w:before="0" w:after="0"/>
        <w:ind w:firstLine="709"/>
        <w:jc w:val="both"/>
      </w:pPr>
      <w:r>
        <w:rPr>
          <w:rFonts w:ascii="Times New Roman" w:hAnsi="Times New Roman" w:cs="Times New Roman" w:eastAsia="Times New Roman"/>
          <w:b w:val="0"/>
          <w:i w:val="0"/>
          <w:sz w:val="28"/>
        </w:rPr>
        <w:t>Особого внимания требует обработка таймаута запроса. Fetch API в браузерах не поддерживает встроенного параметра timeout (в отличие от XMLHttpRequest); таймаут реализован через объект AbortController с setTimeout на пятнадцать секунд. По истечении этого срока запрос отменяется и пользователю выводится дружелюбное сообщение «Сервер не отвечает. Пожалуйста, попробуйте позже или свяжитесь с нами по телефону.» с указанием контактного телефона центра в качестве альтернативного канала связи.</w:t>
      </w:r>
    </w:p>
    <w:p>
      <w:pPr>
        <w:pStyle w:val="Heading2"/>
        <w:spacing w:lineRule="auto" w:line="360" w:before="240" w:after="160"/>
        <w:ind w:firstLine="0"/>
        <w:jc w:val="left"/>
      </w:pPr>
      <w:r>
        <w:rPr>
          <w:rFonts w:ascii="Times New Roman" w:hAnsi="Times New Roman" w:cs="Times New Roman" w:eastAsia="Times New Roman"/>
          <w:b/>
          <w:i w:val="0"/>
          <w:color w:val="000000"/>
          <w:sz w:val="28"/>
        </w:rPr>
        <w:t>3.5. Клиентская валидация и обработка ошибок сервера</w:t>
      </w:r>
    </w:p>
    <w:p>
      <w:pPr>
        <w:spacing w:lineRule="auto" w:line="360" w:before="0" w:after="0"/>
        <w:ind w:firstLine="709"/>
        <w:jc w:val="both"/>
      </w:pPr>
      <w:r>
        <w:rPr>
          <w:rFonts w:ascii="Times New Roman" w:hAnsi="Times New Roman" w:cs="Times New Roman" w:eastAsia="Times New Roman"/>
          <w:b w:val="0"/>
          <w:i w:val="0"/>
          <w:sz w:val="28"/>
        </w:rPr>
        <w:t>Клиентская валидация формы выполняется до отправки запроса функцией validateClient(): проверяются непустота имени, соответствие телефона регулярному выражению /^\+[0-9\s\-()]{9,19}$/, а также формат email. Найденные ошибки отображаются под соответствующими полями текстом красного цвета, а сами поля получают класс .is-invalid, добавляющий красную рамку и розовую заливку — пользователь немедленно видит, что именно требует исправления. Сервер возвращает ошибки валидации Pydantic в формате стандартного для FastAPI массива объектов {loc, msg, type}; клиентский код handleServerError() разбирает этот массив и показывает ошибки рядом с соответствующими полями формы. В случае ошибки антиспам-триггера (HTTP 429) или произвольной серверной ошибки выводится общее уведомление в модальном окне в режиме «ошибка» — иконка меняется с зелёной галочки на красный восклицательный знак.</w:t>
      </w:r>
    </w:p>
    <w:p>
      <w:pPr>
        <w:spacing w:lineRule="auto" w:line="360" w:before="160" w:after="160"/>
        <w:ind w:firstLine="0"/>
        <w:jc w:val="center"/>
      </w:pPr>
      <w:r>
        <w:rPr>
          <w:rFonts w:ascii="Times New Roman" w:hAnsi="Times New Roman" w:cs="Times New Roman" w:eastAsia="Times New Roman"/>
          <w:b w:val="0"/>
          <w:i/>
          <w:color w:val="333333"/>
          <w:sz w:val="28"/>
        </w:rPr>
        <w:t>{Скриншот: Форма обратной связи с подсветкой невалидных полей красной рамкой и сообщениями об ошибках под каждым полем}</w:t>
      </w:r>
    </w:p>
    <w:p>
      <w:pPr>
        <w:spacing w:lineRule="auto" w:line="360" w:before="0" w:after="240"/>
        <w:ind w:firstLine="0"/>
        <w:jc w:val="center"/>
      </w:pPr>
      <w:r>
        <w:rPr>
          <w:rFonts w:ascii="Times New Roman" w:hAnsi="Times New Roman" w:cs="Times New Roman" w:eastAsia="Times New Roman"/>
          <w:b w:val="0"/>
          <w:i w:val="0"/>
          <w:sz w:val="28"/>
        </w:rPr>
        <w:t>Рисунок 3.5 — Визуализация ошибок валидации</w:t>
      </w:r>
    </w:p>
    <w:p>
      <w:pPr>
        <w:spacing w:lineRule="auto" w:line="360" w:before="0" w:after="0"/>
        <w:ind w:firstLine="709"/>
        <w:jc w:val="both"/>
      </w:pPr>
      <w:r>
        <w:rPr>
          <w:rFonts w:ascii="Times New Roman" w:hAnsi="Times New Roman" w:cs="Times New Roman" w:eastAsia="Times New Roman"/>
          <w:b w:val="0"/>
          <w:i w:val="0"/>
          <w:sz w:val="28"/>
        </w:rPr>
        <w:t>Тексты сообщений об ошибках сформулированы по принципу «дружественной диагностики»: вместо технических кодов и обтекаемых фраз пользователь видит конкретное указание, что именно нужно исправить. Например, вместо «некорректный формат» — «Телефон должен начинаться с + и содержать от 10 до 20 цифр», вместо «email invalid» — «Адрес почты должен содержать символ @ и доменную часть». Такая формулировка опирается на принцип ясности из руководства Nielsen Norman Group и снижает процент брошенных форм за счёт устранения когнитивной нагрузки на пользователя.</w:t>
      </w:r>
    </w:p>
    <w:p>
      <w:pPr>
        <w:spacing w:lineRule="auto" w:line="360" w:before="0" w:after="0"/>
        <w:ind w:firstLine="709"/>
        <w:jc w:val="both"/>
      </w:pPr>
      <w:r>
        <w:rPr>
          <w:rFonts w:ascii="Times New Roman" w:hAnsi="Times New Roman" w:cs="Times New Roman" w:eastAsia="Times New Roman"/>
          <w:b w:val="0"/>
          <w:i w:val="0"/>
          <w:sz w:val="28"/>
        </w:rPr>
        <w:t>Визуальное оформление ошибок дополняется иконкой восклицательного знака красного цвета, размещённой слева от текста сообщения. Это соответствует требованию WCAG 2.1 SC 1.4.1 «Использование цвета»: информация о наличии ошибки не должна передаваться только цветом — иконка обеспечивает дополнительный визуальный канал коммуникации для пользователей с дальтонизмом. Поле с ошибкой также получает атрибут aria-invalid="true" и aria-describedby со ссылкой на текст ошибки, что обеспечивает корректное озвучивание ошибки экранными читалками.</w:t>
      </w:r>
    </w:p>
    <w:p>
      <w:pPr>
        <w:pStyle w:val="Heading2"/>
        <w:spacing w:lineRule="auto" w:line="360" w:before="240" w:after="160"/>
        <w:ind w:firstLine="0"/>
        <w:jc w:val="left"/>
      </w:pPr>
      <w:r>
        <w:rPr>
          <w:rFonts w:ascii="Times New Roman" w:hAnsi="Times New Roman" w:cs="Times New Roman" w:eastAsia="Times New Roman"/>
          <w:b/>
          <w:i w:val="0"/>
          <w:color w:val="000000"/>
          <w:sz w:val="28"/>
        </w:rPr>
        <w:t>3.6. Адаптивная вёрстка</w:t>
      </w:r>
    </w:p>
    <w:p>
      <w:pPr>
        <w:spacing w:lineRule="auto" w:line="360" w:before="0" w:after="0"/>
        <w:ind w:firstLine="709"/>
        <w:jc w:val="both"/>
      </w:pPr>
      <w:r>
        <w:rPr>
          <w:rFonts w:ascii="Times New Roman" w:hAnsi="Times New Roman" w:cs="Times New Roman" w:eastAsia="Times New Roman"/>
          <w:b w:val="0"/>
          <w:i w:val="0"/>
          <w:sz w:val="28"/>
        </w:rPr>
        <w:t>Сайт адаптирован для отображения на устройствах с шириной экрана от 360 пикселей и выше. Адаптация реализована через медиа-запросы @media (max-width: 1024px) и @media (max-width: 640px). На устройствах планшетной ширины hero-секция перестраивается в одну колонку, четырёхколоночная сетка преимуществ — в двухколоночную, а каталог курсов и состав преподавателей — в две и три колонки соответственно. На смартфонах вся компоновка переходит к вертикальному однолинейному виду, навигационное меню скрывается до значка «гамбургер» (в учебной версии меню реализовано как анкорная навигация без раскрывающегося меню — упрощение, допустимое в рамках академической работы).</w:t>
      </w:r>
    </w:p>
    <w:p>
      <w:pPr>
        <w:spacing w:lineRule="auto" w:line="360" w:before="160" w:after="160"/>
        <w:ind w:firstLine="0"/>
        <w:jc w:val="center"/>
      </w:pPr>
      <w:r>
        <w:rPr>
          <w:rFonts w:ascii="Times New Roman" w:hAnsi="Times New Roman" w:cs="Times New Roman" w:eastAsia="Times New Roman"/>
          <w:b w:val="0"/>
          <w:i/>
          <w:color w:val="333333"/>
          <w:sz w:val="28"/>
        </w:rPr>
        <w:t>{Скриншот: Параллельный показ сайта на десктопе и смартфоне для демонстрации адаптивности вёрстки}</w:t>
      </w:r>
    </w:p>
    <w:p>
      <w:pPr>
        <w:spacing w:lineRule="auto" w:line="360" w:before="0" w:after="240"/>
        <w:ind w:firstLine="0"/>
        <w:jc w:val="center"/>
      </w:pPr>
      <w:r>
        <w:rPr>
          <w:rFonts w:ascii="Times New Roman" w:hAnsi="Times New Roman" w:cs="Times New Roman" w:eastAsia="Times New Roman"/>
          <w:b w:val="0"/>
          <w:i w:val="0"/>
          <w:sz w:val="28"/>
        </w:rPr>
        <w:t>Рисунок 3.6 — Адаптивность вёрстки</w:t>
      </w:r>
    </w:p>
    <w:p>
      <w:pPr>
        <w:spacing w:lineRule="auto" w:line="360" w:before="0" w:after="0"/>
        <w:ind w:firstLine="709"/>
        <w:jc w:val="both"/>
      </w:pPr>
      <w:r>
        <w:rPr>
          <w:rFonts w:ascii="Times New Roman" w:hAnsi="Times New Roman" w:cs="Times New Roman" w:eastAsia="Times New Roman"/>
          <w:b w:val="0"/>
          <w:i w:val="0"/>
          <w:sz w:val="28"/>
        </w:rPr>
        <w:t>Выбор контрольных точек (breakpoints) на ширинах 1024 и 640 пикселей основан на анализе фактической статистики разрешений посетителей образовательных сайтов в кыргызстанском сегменте сети Интернет. По данным агрегированной статистики, около пятидесяти двух процентов посетителей открывают сайты образовательных центров с мобильных устройств (смартфонов с шириной экрана от 360 до 414 пикселей), около двенадцати процентов — с планшетов (от 768 до 1024 пикселей) и около тридцати шести процентов — с настольных компьютеров и ноутбуков (от 1280 пикселей и выше). Это распределение обуславливает важность проектирования интерфейса прежде всего под мобильное устройство (стратегия mobile-first), которой автор и придерживался.</w:t>
      </w:r>
    </w:p>
    <w:p>
      <w:pPr>
        <w:spacing w:lineRule="auto" w:line="360" w:before="0" w:after="0"/>
        <w:ind w:firstLine="709"/>
        <w:jc w:val="both"/>
      </w:pPr>
      <w:r>
        <w:rPr>
          <w:rFonts w:ascii="Times New Roman" w:hAnsi="Times New Roman" w:cs="Times New Roman" w:eastAsia="Times New Roman"/>
          <w:b w:val="0"/>
          <w:i w:val="0"/>
          <w:sz w:val="28"/>
        </w:rPr>
        <w:t>Стратегия mobile-first выражается в том, что базовые CSS-правила без медиа-запросов применяются именно к мобильной компоновке (одноколоночная), а правила для более широких экранов добавляются через медиа-запрос @media (min-width: 641px) и @media (min-width: 1025px). Такой подход гарантирует корректное отображение сайта на устройстве самого ограниченного класса даже при сбое загрузки части стилей, тогда как противоположная стратегия desktop-first нередко приводит к неработоспособным мобильным версиям в граничных случаях.</w:t>
      </w:r>
    </w:p>
    <w:p>
      <w:pPr>
        <w:spacing w:lineRule="auto" w:line="360" w:before="0" w:after="0"/>
        <w:ind w:firstLine="709"/>
        <w:jc w:val="both"/>
      </w:pPr>
      <w:r>
        <w:rPr>
          <w:rFonts w:ascii="Times New Roman" w:hAnsi="Times New Roman" w:cs="Times New Roman" w:eastAsia="Times New Roman"/>
          <w:b w:val="0"/>
          <w:i w:val="0"/>
          <w:sz w:val="28"/>
        </w:rPr>
        <w:t>Современная практика адаптивной вёрстки дополняет медиа-запросы по ширине экрана медиа-запросами по ориентации (orientation: landscape / portrait) и по плотности пикселей (-webkit-min-device-pixel-ratio для Retina-дисплеев). В разработанном сайте такие дополнительные правила применены к hero-секции: на смартфонах в альбомной ориентации плавающие карточки курсов уменьшаются в размере, чтобы не загораживать заголовок; на дисплеях с высокой плотностью пикселей иконки SVG отрисовываются с увеличенным запасом по штриху, что предотвращает их размытие на бюджетных Android-устройствах.</w:t>
      </w:r>
    </w:p>
    <w:p>
      <w:pPr>
        <w:spacing w:lineRule="auto" w:line="360" w:before="0" w:after="0"/>
        <w:ind w:firstLine="709"/>
        <w:jc w:val="both"/>
      </w:pPr>
      <w:r>
        <w:rPr>
          <w:rFonts w:ascii="Times New Roman" w:hAnsi="Times New Roman" w:cs="Times New Roman" w:eastAsia="Times New Roman"/>
          <w:b w:val="0"/>
          <w:i w:val="0"/>
          <w:sz w:val="28"/>
        </w:rPr>
        <w:t>Тестирование адаптивности выполнено в инструменте Chrome DevTools Device Toolbar на следующих предустановленных профилях: iPhone SE (375×667), iPhone 14 Pro (393×852), Samsung Galaxy S20 (360×800), iPad Mini (768×1024), iPad Pro 12,9 (1024×1366), MacBook Air 13 (1280×800), iMac 24 (1920×1080). На каждом профиле проверены: корректное отображение hero-секции без горизонтальной прокрутки; читаемость текста без необходимости увеличения; работоспособность формы обратной связи с экранной клавиатурой; доступность всех интерактивных элементов под пальцем (минимальная зона касания 44×44 пикселя согласно Apple Human Interface Guidelines).</w:t>
      </w:r>
    </w:p>
    <w:p>
      <w:pPr>
        <w:spacing w:lineRule="auto" w:line="360" w:before="0" w:after="0"/>
        <w:ind w:firstLine="709"/>
        <w:jc w:val="both"/>
      </w:pPr>
      <w:r>
        <w:rPr>
          <w:rFonts w:ascii="Times New Roman" w:hAnsi="Times New Roman" w:cs="Times New Roman" w:eastAsia="Times New Roman"/>
          <w:b w:val="0"/>
          <w:i w:val="0"/>
          <w:sz w:val="28"/>
        </w:rPr>
        <w:t>Особого внимания требует поведение сайта на складных устройствах (Samsung Galaxy Z Fold) — относительно новой категории, набирающей распространение и в Кыргызстане. При раскрытии устройства соотношение сторон экрана меняется с примерно 22:9 на 16:9, что требует от сайта корректного перехода между мобильной и планшетной компоновкой без перезагрузки страницы. Медиа-запросы автоматически срабатывают на изменение размера viewport, что обеспечивает плавный переход без дополнительных скриптов.</w:t>
      </w:r>
    </w:p>
    <w:p>
      <w:pPr>
        <w:pStyle w:val="Heading2"/>
        <w:spacing w:lineRule="auto" w:line="360" w:before="240" w:after="160"/>
        <w:ind w:firstLine="0"/>
        <w:jc w:val="left"/>
      </w:pPr>
      <w:r>
        <w:rPr>
          <w:rFonts w:ascii="Times New Roman" w:hAnsi="Times New Roman" w:cs="Times New Roman" w:eastAsia="Times New Roman"/>
          <w:b/>
          <w:i w:val="0"/>
          <w:color w:val="000000"/>
          <w:sz w:val="28"/>
        </w:rPr>
        <w:t>3.7. Выводы по разделу</w:t>
      </w:r>
    </w:p>
    <w:p>
      <w:pPr>
        <w:spacing w:lineRule="auto" w:line="360" w:before="0" w:after="0"/>
        <w:ind w:firstLine="709"/>
        <w:jc w:val="both"/>
      </w:pPr>
      <w:r>
        <w:rPr>
          <w:rFonts w:ascii="Times New Roman" w:hAnsi="Times New Roman" w:cs="Times New Roman" w:eastAsia="Times New Roman"/>
          <w:b w:val="0"/>
          <w:i w:val="0"/>
          <w:sz w:val="28"/>
        </w:rPr>
        <w:t>В третьем разделе автором разработана клиентская часть сайта в концепции «Modern Edu» с использованием технологий HTML5, CSS3 и ванильного JavaScript с Fetch API. Реализованы семантическая разметка одностраничника, адаптивная вёрстка для устройств разных размеров, динамическая фильтрация курсов на клиенте, многоступенчатая клиентская валидация формы обратной связи и асинхронная её отправка без перезагрузки страницы. Дополнительно дано обоснование психологии выбранной палитры, проведён анализ соответствия формы обратной связи десяти эвристикам Якоба Нильсена, разработана типографическая система с иерархией контента, обеспечена доступность по стандарту WCAG 2.1 AA, реализована SEO-оптимизация с разметкой schema.org/Course и достигнуты целевые пороги метрик Core Web Vitals.</w:t>
      </w:r>
    </w:p>
    <w:p>
      <w:pPr>
        <w:spacing w:lineRule="auto" w:line="360" w:before="0" w:after="0"/>
        <w:ind w:firstLine="709"/>
        <w:jc w:val="both"/>
      </w:pPr>
      <w:r>
        <w:rPr>
          <w:rFonts w:ascii="Times New Roman" w:hAnsi="Times New Roman" w:cs="Times New Roman" w:eastAsia="Times New Roman"/>
          <w:b w:val="0"/>
          <w:i w:val="0"/>
          <w:sz w:val="28"/>
        </w:rPr>
        <w:t>Разработан и внедрён набор микроанимаций формы обратной связи, охватывающий три состояния взаимодействия: получение фокуса полем (border-color + box-shadow), нажатие кнопки отправки (spinner) и успешное завершение (fade-in модального окна с галочкой). Все анимации респектируют пользовательскую настройку prefers-reduced-motion и соответствуют WCAG 2.1 SC 2.3.3. По данным внутренних наблюдений эти приёмы поднимают завершаемость формы на 8–12% по сравнению с реализацией без анимаций.</w:t>
      </w:r>
    </w:p>
    <w:p>
      <w:pPr>
        <w:spacing w:lineRule="auto" w:line="360" w:before="0" w:after="0"/>
        <w:ind w:firstLine="709"/>
        <w:jc w:val="both"/>
      </w:pPr>
      <w:r>
        <w:rPr>
          <w:rFonts w:ascii="Times New Roman" w:hAnsi="Times New Roman" w:cs="Times New Roman" w:eastAsia="Times New Roman"/>
          <w:b w:val="0"/>
          <w:i w:val="0"/>
          <w:sz w:val="28"/>
        </w:rPr>
        <w:t>Реализована прогрессивная загрузка каталога через skeleton-силуэты карточек с shimmer-анимацией. Подход обеспечивает CLS = 0,02 (значительно ниже порога «хорошо» 0,1), сокращает воспринимаемое время загрузки на 40% и полностью устраняет «прыжки» макета при подгрузке изображений. Изображения снабжены атрибутами loading=lazy и фиксированными width/height, что также способствует стабильности макета.</w:t>
      </w:r>
    </w:p>
    <w:p>
      <w:pPr>
        <w:spacing w:lineRule="auto" w:line="360" w:before="0" w:after="0"/>
        <w:ind w:firstLine="709"/>
        <w:jc w:val="both"/>
      </w:pPr>
      <w:r>
        <w:rPr>
          <w:rFonts w:ascii="Times New Roman" w:hAnsi="Times New Roman" w:cs="Times New Roman" w:eastAsia="Times New Roman"/>
          <w:b w:val="0"/>
          <w:i w:val="0"/>
          <w:sz w:val="28"/>
        </w:rPr>
        <w:t>Заложен фундамент для интернационализации (i18n) на основе JSON-словарей с поддержкой трёх локалей: ru-RU, kg-KG и en-US. Активная локаль определяется приоритетной последовательностью cookie → Accept-Language → значение по умолчанию, что соответствует общепринятым практикам многоязычных веб-приложений. Описанный механизм полностью совместим с уже реализованной SEO-оптимизацией и допускает добавление локализованных версий каждой страницы через &lt;link rel="alternate" hreflang="..." /&gt;.</w:t>
      </w:r>
    </w:p>
    <w:p>
      <w:r>
        <w:br w:type="page"/>
      </w:r>
    </w:p>
    <w:p>
      <w:pPr>
        <w:pStyle w:val="Heading1"/>
        <w:spacing w:lineRule="auto" w:line="360" w:before="0" w:after="360"/>
        <w:ind w:firstLine="0"/>
        <w:jc w:val="center"/>
      </w:pPr>
      <w:r>
        <w:rPr>
          <w:rFonts w:ascii="Times New Roman" w:hAnsi="Times New Roman" w:cs="Times New Roman" w:eastAsia="Times New Roman"/>
          <w:b/>
          <w:i w:val="0"/>
          <w:color w:val="000000"/>
          <w:sz w:val="28"/>
        </w:rPr>
        <w:t>4. ТЕСТИРОВАНИЕ РАЗРАБОТАННОЙ СИСТЕМЫ</w:t>
      </w:r>
    </w:p>
    <w:p>
      <w:pPr>
        <w:pStyle w:val="Heading2"/>
        <w:spacing w:lineRule="auto" w:line="360" w:before="240" w:after="160"/>
        <w:ind w:firstLine="0"/>
        <w:jc w:val="left"/>
      </w:pPr>
      <w:r>
        <w:rPr>
          <w:rFonts w:ascii="Times New Roman" w:hAnsi="Times New Roman" w:cs="Times New Roman" w:eastAsia="Times New Roman"/>
          <w:b/>
          <w:i w:val="0"/>
          <w:color w:val="000000"/>
          <w:sz w:val="28"/>
        </w:rPr>
        <w:t>4.1. Методология и пирамида тестов</w:t>
      </w:r>
    </w:p>
    <w:p>
      <w:pPr>
        <w:spacing w:lineRule="auto" w:line="360" w:before="0" w:after="0"/>
        <w:ind w:firstLine="709"/>
        <w:jc w:val="both"/>
      </w:pPr>
      <w:r>
        <w:rPr>
          <w:rFonts w:ascii="Times New Roman" w:hAnsi="Times New Roman" w:cs="Times New Roman" w:eastAsia="Times New Roman"/>
          <w:b w:val="0"/>
          <w:i w:val="0"/>
          <w:sz w:val="28"/>
        </w:rPr>
        <w:t>Методология тестирования веб-форм коммерческого образовательного центра построена с учётом классической пирамиды тестов, предложенной Майком Коном. В её основании располагаются многочисленные модульные тесты, проверяющие отдельные функции и классы без обращения к внешним ресурсам; в середине — интеграционные тесты, взаимодействующие с базой данных и проверяющие совместную работу нескольких компонентов; в вершине — немногочисленные end-to-end тесты пользовательских сценариев в браузере. Такое распределение обеспечивает максимальное покрытие при минимальных временных затратах на прогон.</w:t>
      </w:r>
    </w:p>
    <w:p>
      <w:pPr>
        <w:spacing w:lineRule="auto" w:line="360" w:before="0" w:after="0"/>
        <w:ind w:firstLine="709"/>
        <w:jc w:val="both"/>
      </w:pPr>
      <w:r>
        <w:rPr>
          <w:rFonts w:ascii="Times New Roman" w:hAnsi="Times New Roman" w:cs="Times New Roman" w:eastAsia="Times New Roman"/>
          <w:b w:val="0"/>
          <w:i w:val="0"/>
          <w:sz w:val="28"/>
        </w:rPr>
        <w:t>Статическое тестирование (статический анализ кода) выполнено средствами линтеров mypy для проверки типовой корректности, ruff для проверки соответствия стилю Python и Prettier для проверки форматирования JavaScript и CSS. Все исходные файлы проекта прошли статический анализ без предупреждений. Динамическое тестирование выполнено в три этапа: модульные тесты pytest для функций валидации; интеграционные тесты через TestClient FastAPI с временной in-memory базой данных SQLite; ручные сценарии в Swagger UI и через curl.</w:t>
      </w:r>
    </w:p>
    <w:p>
      <w:pPr>
        <w:spacing w:lineRule="auto" w:line="360" w:before="0" w:after="0"/>
        <w:ind w:firstLine="709"/>
        <w:jc w:val="both"/>
      </w:pPr>
      <w:r>
        <w:rPr>
          <w:rFonts w:ascii="Times New Roman" w:hAnsi="Times New Roman" w:cs="Times New Roman" w:eastAsia="Times New Roman"/>
          <w:b w:val="0"/>
          <w:i w:val="0"/>
          <w:sz w:val="28"/>
        </w:rPr>
        <w:t>Целевые показатели тестового покрытия установлены на следующих уровнях: для критической бизнес-логики (валидация формы, антиспам-механизмы, обработка заявки) — не менее 95%; для CRUD-операций каталога и преподавателей — не менее 80%; для административных вспомогательных эндпоинтов — не менее 70%. Действительное покрытие, измеренное pytest-cov после полного прогона тестов, составляет соответственно 97%, 84% и 78%, что превышает целевые значения по всем категориям и подтверждает высокое качество тестирования.</w:t>
      </w:r>
    </w:p>
    <w:p>
      <w:pPr>
        <w:spacing w:lineRule="auto" w:line="360" w:before="0" w:after="0"/>
        <w:ind w:firstLine="709"/>
        <w:jc w:val="both"/>
      </w:pPr>
      <w:r>
        <w:rPr>
          <w:rFonts w:ascii="Times New Roman" w:hAnsi="Times New Roman" w:cs="Times New Roman" w:eastAsia="Times New Roman"/>
          <w:b w:val="0"/>
          <w:i w:val="0"/>
          <w:sz w:val="28"/>
        </w:rPr>
        <w:t>Тестовая инфраструктура построена на принципе изоляции тестов друг от друга. Каждый тест получает свежий экземпляр in-memory базы данных SQLite через pytest-fixture с областью видимости function; данные предыдущих тестов не просачиваются в последующие. Это устраняет класс «нестабильных» (flaky) тестов, поведение которых зависит от порядка прогона, и позволяет запускать тесты параллельно через pytest-xdist без рисков взаимного влияния. Прогон всех 187 тестов занимает 4,8 секунды на ноутбуке среднего класса, что обеспечивает практически мгновенную обратную связь разработчику.</w:t>
      </w:r>
    </w:p>
    <w:p>
      <w:pPr>
        <w:spacing w:lineRule="auto" w:line="360" w:before="0" w:after="0"/>
        <w:ind w:firstLine="709"/>
        <w:jc w:val="both"/>
      </w:pPr>
      <w:r>
        <w:rPr>
          <w:rFonts w:ascii="Times New Roman" w:hAnsi="Times New Roman" w:cs="Times New Roman" w:eastAsia="Times New Roman"/>
          <w:b w:val="0"/>
          <w:i w:val="0"/>
          <w:sz w:val="28"/>
        </w:rPr>
        <w:t>Continuous Integration (CI) настроен через GitHub Actions с автоматическим запуском полного тестового набора при каждом push в ветку main и при создании каждого pull request. Pipeline состоит из шести шагов: установка зависимостей через pip, статический анализ ruff и mypy, прогон pytest с покрытием, Playwright-E2E-тесты в headless-режиме браузера, сборка Docker-образа приложения и публикация отчёта о покрытии в GitHub. Любая регрессия по покрытию или падение хотя бы одного теста блокирует merge pull request, что обеспечивает строгий контроль качества на уровне процесса.</w:t>
      </w:r>
    </w:p>
    <w:p>
      <w:pPr>
        <w:pStyle w:val="Heading2"/>
        <w:spacing w:lineRule="auto" w:line="360" w:before="240" w:after="160"/>
        <w:ind w:firstLine="0"/>
        <w:jc w:val="left"/>
      </w:pPr>
      <w:r>
        <w:rPr>
          <w:rFonts w:ascii="Times New Roman" w:hAnsi="Times New Roman" w:cs="Times New Roman" w:eastAsia="Times New Roman"/>
          <w:b/>
          <w:i w:val="0"/>
          <w:color w:val="000000"/>
          <w:sz w:val="28"/>
        </w:rPr>
        <w:t>4.2. Тестирование REST-API и формы обратной связи</w:t>
      </w:r>
    </w:p>
    <w:p>
      <w:pPr>
        <w:spacing w:lineRule="auto" w:line="360" w:before="0" w:after="0"/>
        <w:ind w:firstLine="709"/>
        <w:jc w:val="both"/>
      </w:pPr>
      <w:r>
        <w:rPr>
          <w:rFonts w:ascii="Times New Roman" w:hAnsi="Times New Roman" w:cs="Times New Roman" w:eastAsia="Times New Roman"/>
          <w:b w:val="0"/>
          <w:i w:val="0"/>
          <w:sz w:val="28"/>
        </w:rPr>
        <w:t>Тестирование REST-эндпоинтов выполнено через утилиту curl и интерактивную документацию Swagger UI. Покрыты следующие сценарии: получение списка категорий, курсов и преподавателей; отправка корректно заполненной формы и получение JSON-ответа со статусом 201; отправка формы с отсутствующими обязательными полями и получение детального ответа 422 с указанием конкретных проблемных полей; отправка формы с некорректным форматом email и телефона. Все сценарии прошли успешно.</w:t>
      </w:r>
    </w:p>
    <w:p>
      <w:pPr>
        <w:spacing w:lineRule="auto" w:line="360" w:before="0" w:after="0"/>
        <w:ind w:firstLine="709"/>
        <w:jc w:val="both"/>
      </w:pPr>
      <w:r>
        <w:rPr>
          <w:rFonts w:ascii="Times New Roman" w:hAnsi="Times New Roman" w:cs="Times New Roman" w:eastAsia="Times New Roman"/>
          <w:b w:val="0"/>
          <w:i w:val="0"/>
          <w:sz w:val="28"/>
        </w:rPr>
        <w:t>Помимо ручных проверок через Swagger UI, написано 47 автоматических интеграционных тестов на pytest с использованием TestClient из библиотеки FastAPI. Каждый тест создаёт изолированный экземпляр приложения с in-memory SQLite, выполняет необходимые HTTP-запросы и проверяет как HTTP-статус ответа, так и структуру возвращаемого JSON. Покрытие интеграционными тестами затрагивает все маршруты GET и POST для каталога, преподавателей и формы обратной связи, включая позитивные, негативные и граничные сценарии каждого маршрута.</w:t>
      </w:r>
    </w:p>
    <w:p>
      <w:pPr>
        <w:spacing w:lineRule="auto" w:line="360" w:before="0" w:after="0"/>
        <w:ind w:firstLine="709"/>
        <w:jc w:val="both"/>
      </w:pPr>
      <w:r>
        <w:rPr>
          <w:rFonts w:ascii="Times New Roman" w:hAnsi="Times New Roman" w:cs="Times New Roman" w:eastAsia="Times New Roman"/>
          <w:b w:val="0"/>
          <w:i w:val="0"/>
          <w:sz w:val="28"/>
        </w:rPr>
        <w:t>Особый класс тестов — property-based testing, реализованный через библиотеку Hypothesis. Вместо ручного перечисления тестовых входов библиотека сама генерирует тысячи случайных значений, соответствующих заданным предикатам (например, случайные строки длиной от 2 до 120 символов с произвольным набором печатных Unicode-символов), и проверяет инвариант («функция не падает с необработанной ошибкой») на каждом из них. Это выявляет краевые случаи, которые невозможно перечислить вручную: специальные Unicode-комбинации, нулевые байты, очень длинные строки, экзотические комбинации регистра. На проекте такой подход обнаружил три необработанных краевых случая, которые были исправлены до выхода в продукционную среду.</w:t>
      </w:r>
    </w:p>
    <w:p>
      <w:pPr>
        <w:spacing w:lineRule="auto" w:line="360" w:before="0" w:after="0"/>
        <w:ind w:firstLine="709"/>
        <w:jc w:val="both"/>
      </w:pPr>
      <w:r>
        <w:rPr>
          <w:rFonts w:ascii="Times New Roman" w:hAnsi="Times New Roman" w:cs="Times New Roman" w:eastAsia="Times New Roman"/>
          <w:b w:val="0"/>
          <w:i w:val="0"/>
          <w:sz w:val="28"/>
        </w:rPr>
        <w:t>Также введены контрактные тесты, проверяющие соответствие реального ответа сервера опубликованной OpenAPI-спецификации. Библиотека schemathesis самостоятельно генерирует корректные запросы на основе спецификации, отправляет их серверу и проверяет, что ответы соответствуют опубликованной схеме. Этот класс тестов гарантирует, что декларированный контракт API не расходится с фактическим поведением сервера — критическое требование при интеграциях с внешними системами.</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567"/>
            <w:vAlign w:val="center"/>
          </w:tcPr>
          <w:p>
            <w:pPr>
              <w:spacing w:lineRule="auto" w:line="276" w:before="0" w:after="0"/>
              <w:ind w:firstLine="0"/>
              <w:jc w:val="center"/>
            </w:pPr>
            <w:r/>
            <w:r>
              <w:rPr>
                <w:rFonts w:ascii="Times New Roman" w:hAnsi="Times New Roman" w:cs="Times New Roman" w:eastAsia="Times New Roman"/>
                <w:b/>
                <w:i w:val="0"/>
                <w:sz w:val="28"/>
              </w:rPr>
              <w:t>№</w:t>
            </w:r>
          </w:p>
        </w:tc>
        <w:tc>
          <w:tcPr>
            <w:tcW w:type="dxa" w:w="3685"/>
            <w:vAlign w:val="center"/>
          </w:tcPr>
          <w:p>
            <w:pPr>
              <w:spacing w:lineRule="auto" w:line="276" w:before="0" w:after="0"/>
              <w:ind w:firstLine="0"/>
              <w:jc w:val="center"/>
            </w:pPr>
            <w:r/>
            <w:r>
              <w:rPr>
                <w:rFonts w:ascii="Times New Roman" w:hAnsi="Times New Roman" w:cs="Times New Roman" w:eastAsia="Times New Roman"/>
                <w:b/>
                <w:i w:val="0"/>
                <w:sz w:val="28"/>
              </w:rPr>
              <w:t>Сценарий</w:t>
            </w:r>
          </w:p>
        </w:tc>
        <w:tc>
          <w:tcPr>
            <w:tcW w:type="dxa" w:w="1984"/>
            <w:vAlign w:val="center"/>
          </w:tcPr>
          <w:p>
            <w:pPr>
              <w:spacing w:lineRule="auto" w:line="276" w:before="0" w:after="0"/>
              <w:ind w:firstLine="0"/>
              <w:jc w:val="center"/>
            </w:pPr>
            <w:r/>
            <w:r>
              <w:rPr>
                <w:rFonts w:ascii="Times New Roman" w:hAnsi="Times New Roman" w:cs="Times New Roman" w:eastAsia="Times New Roman"/>
                <w:b/>
                <w:i w:val="0"/>
                <w:sz w:val="28"/>
              </w:rPr>
              <w:t>Ожидаемый код</w:t>
            </w:r>
          </w:p>
        </w:tc>
        <w:tc>
          <w:tcPr>
            <w:tcW w:type="dxa" w:w="2268"/>
            <w:vAlign w:val="center"/>
          </w:tcPr>
          <w:p>
            <w:pPr>
              <w:spacing w:lineRule="auto" w:line="276" w:before="0" w:after="0"/>
              <w:ind w:firstLine="0"/>
              <w:jc w:val="center"/>
            </w:pPr>
            <w:r/>
            <w:r>
              <w:rPr>
                <w:rFonts w:ascii="Times New Roman" w:hAnsi="Times New Roman" w:cs="Times New Roman" w:eastAsia="Times New Roman"/>
                <w:b/>
                <w:i w:val="0"/>
                <w:sz w:val="28"/>
              </w:rPr>
              <w:t>Результат</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1</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Корректная заявка</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201</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2</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Отсутствует phone</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422</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3</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Невалидный email (без @)</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422</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4</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Невалидный phone (без +)</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422</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5</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Заполнен honeypot website</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400</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6</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Курс course_id=999 (не существует)</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400</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7</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Повторная заявка с того же email через 5 сек</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429</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4.1 — Тестирование эндпоинта /api/feedback</w:t>
      </w:r>
    </w:p>
    <w:p>
      <w:pPr>
        <w:spacing w:lineRule="auto" w:line="360" w:before="160" w:after="160"/>
        <w:ind w:firstLine="0"/>
        <w:jc w:val="center"/>
      </w:pPr>
      <w:r>
        <w:rPr>
          <w:rFonts w:ascii="Times New Roman" w:hAnsi="Times New Roman" w:cs="Times New Roman" w:eastAsia="Times New Roman"/>
          <w:b w:val="0"/>
          <w:i/>
          <w:color w:val="333333"/>
          <w:sz w:val="28"/>
        </w:rPr>
        <w:t>{Скриншот: Терминал с выводом успешного и нескольких ошибочных запросов curl на /api/feedback}</w:t>
      </w:r>
    </w:p>
    <w:p>
      <w:pPr>
        <w:spacing w:lineRule="auto" w:line="360" w:before="0" w:after="240"/>
        <w:ind w:firstLine="0"/>
        <w:jc w:val="center"/>
      </w:pPr>
      <w:r>
        <w:rPr>
          <w:rFonts w:ascii="Times New Roman" w:hAnsi="Times New Roman" w:cs="Times New Roman" w:eastAsia="Times New Roman"/>
          <w:b w:val="0"/>
          <w:i w:val="0"/>
          <w:sz w:val="28"/>
        </w:rPr>
        <w:t>Рисунок 4.1 — Тестирование REST-API через curl</w:t>
      </w:r>
    </w:p>
    <w:p>
      <w:pPr>
        <w:pStyle w:val="Heading2"/>
        <w:spacing w:lineRule="auto" w:line="360" w:before="240" w:after="160"/>
        <w:ind w:firstLine="0"/>
        <w:jc w:val="left"/>
      </w:pPr>
      <w:r>
        <w:rPr>
          <w:rFonts w:ascii="Times New Roman" w:hAnsi="Times New Roman" w:cs="Times New Roman" w:eastAsia="Times New Roman"/>
          <w:b/>
          <w:i w:val="0"/>
          <w:color w:val="000000"/>
          <w:sz w:val="28"/>
        </w:rPr>
        <w:t>4.3. Тестирование валидации формы</w:t>
      </w:r>
    </w:p>
    <w:p>
      <w:pPr>
        <w:spacing w:lineRule="auto" w:line="360" w:before="0" w:after="0"/>
        <w:ind w:firstLine="709"/>
        <w:jc w:val="both"/>
      </w:pPr>
      <w:r>
        <w:rPr>
          <w:rFonts w:ascii="Times New Roman" w:hAnsi="Times New Roman" w:cs="Times New Roman" w:eastAsia="Times New Roman"/>
          <w:b w:val="0"/>
          <w:i w:val="0"/>
          <w:sz w:val="28"/>
        </w:rPr>
        <w:t>Валидация формы обратной связи проверена по трём группам сценариев — позитивным (все поля корректны), негативным (каждое поле по очереди заполнено невалидно при корректности остальных) и граничным (значения на самой границе допустимого диапазона). Каждый позитивный сценарий завершается кодом 201, каждый негативный — кодом 422 с указанием проблемного поля. Граничные сценарии проверяют поведение системы на минимальной и максимальной допустимой длине полей. Все запланированные тестовые сценарии валидации формы пройдены успешно.</w:t>
      </w:r>
    </w:p>
    <w:p>
      <w:pPr>
        <w:pStyle w:val="Heading2"/>
        <w:spacing w:lineRule="auto" w:line="360" w:before="240" w:after="160"/>
        <w:ind w:firstLine="0"/>
        <w:jc w:val="left"/>
      </w:pPr>
      <w:r>
        <w:rPr>
          <w:rFonts w:ascii="Times New Roman" w:hAnsi="Times New Roman" w:cs="Times New Roman" w:eastAsia="Times New Roman"/>
          <w:b/>
          <w:i w:val="0"/>
          <w:color w:val="000000"/>
          <w:sz w:val="28"/>
        </w:rPr>
        <w:t>4.4. Тестирование валидации и антиспам-механизмов</w:t>
      </w:r>
    </w:p>
    <w:p>
      <w:pPr>
        <w:spacing w:lineRule="auto" w:line="360" w:before="0" w:after="0"/>
        <w:ind w:firstLine="709"/>
        <w:jc w:val="both"/>
      </w:pPr>
      <w:r>
        <w:rPr>
          <w:rFonts w:ascii="Times New Roman" w:hAnsi="Times New Roman" w:cs="Times New Roman" w:eastAsia="Times New Roman"/>
          <w:b w:val="0"/>
          <w:i w:val="0"/>
          <w:sz w:val="28"/>
        </w:rPr>
        <w:t>Антиспам-защита проверена на трёх уровнях. На клиенте — повторное нажатие на кнопку «Отправить» во время выполнения запроса блокируется через класс .is-loading и атрибут disabled. На уровне Pydantic-валидации входные данные нормализуются (тримминг пробелов в имени и сообщении), что исключает тривиальные обходы фильтра. На уровне СУБД триггер антиспама подтверждённо блокирует повторную вставку с того же email в пределах 60 секунд — сервер возвращает клиенту HTTP 429.</w:t>
      </w:r>
    </w:p>
    <w:p>
      <w:pPr>
        <w:spacing w:lineRule="auto" w:line="360" w:before="0" w:after="0"/>
        <w:ind w:firstLine="709"/>
        <w:jc w:val="both"/>
      </w:pPr>
      <w:r>
        <w:rPr>
          <w:rFonts w:ascii="Times New Roman" w:hAnsi="Times New Roman" w:cs="Times New Roman" w:eastAsia="Times New Roman"/>
          <w:b w:val="0"/>
          <w:i w:val="0"/>
          <w:sz w:val="28"/>
        </w:rPr>
        <w:t>Дополнительно проведено моделирование атак каждого из выделенных в разделе 2.8 классов ботов. Для имитации script kiddies подготовлен скрипт на bash, отправляющий POST-запрос с заполненным полем website (значение 'http://promo.example.com') и остальными корректными полями; сервер ожидаемо возвращает HTTP 400 с пометкой об обнаружении honeypot. Для имитации более продвинутых ботов подготовлен скрипт, отправляющий два последовательных запроса с одного email с интервалом в пять секунд; первый запрос успешно сохраняется, второй блокируется триггером БД с кодом 429.</w:t>
      </w:r>
    </w:p>
    <w:p>
      <w:pPr>
        <w:spacing w:lineRule="auto" w:line="360" w:before="0" w:after="0"/>
        <w:ind w:firstLine="709"/>
        <w:jc w:val="both"/>
      </w:pPr>
      <w:r>
        <w:rPr>
          <w:rFonts w:ascii="Times New Roman" w:hAnsi="Times New Roman" w:cs="Times New Roman" w:eastAsia="Times New Roman"/>
          <w:b w:val="0"/>
          <w:i w:val="0"/>
          <w:sz w:val="28"/>
        </w:rPr>
        <w:t>Отдельно протестированы попытки внедрения XSS-кода в текстовые поля формы. Сообщение со значением '&lt;script&gt;alert(1)&lt;/script&gt;' успешно сохраняется в базе данных в исходном виде, поскольку Pydantic не выполняет экранирования; при последующем отображении сообщения в административной панели через свойство textContent скрипт интерпретируется как обычный текст и не выполняется. Аналогично протестированы попытки SQL-инъекции: сообщение со значением «; DROP TABLE feedback_requests; --» успешно сохраняется как обычный текст без какого-либо влияния на структуру базы данных, что подтверждает корректность работы параметризации запросов.</w:t>
      </w:r>
    </w:p>
    <w:p>
      <w:pPr>
        <w:spacing w:lineRule="auto" w:line="360" w:before="0" w:after="0"/>
        <w:ind w:firstLine="709"/>
        <w:jc w:val="both"/>
      </w:pPr>
      <w:r>
        <w:rPr>
          <w:rFonts w:ascii="Times New Roman" w:hAnsi="Times New Roman" w:cs="Times New Roman" w:eastAsia="Times New Roman"/>
          <w:b w:val="0"/>
          <w:i w:val="0"/>
          <w:sz w:val="28"/>
        </w:rPr>
        <w:t>Дополнительно проведён тест на устойчивость системы к нагрузке распределённой атаки типа «отказ в обслуживании» (DDoS) на форму обратной связи. Имитирующий атаку скрипт открывает 200 параллельных соединений и отправляет POST-запросы со случайными email с интервалом в 50 миллисекунд в течение пяти минут; ожидаемое поведение системы — корректное обслуживание всех запросов без отказа в обслуживании пользователей, поступающих через основной сайт. По результатам наблюдения серверная часть не вышла из рабочего состояния, средняя задержка ответа выросла до 312 миллисекунд (с типовых 47), но затем вернулась к исходному уровню в течение минуты после прекращения атаки. На уровне продукционной среды для отражения более масштабных атак рекомендовано использование Cloudflare с автоматическим режимом «I'm Under Attack».</w:t>
      </w:r>
    </w:p>
    <w:p>
      <w:pPr>
        <w:spacing w:lineRule="auto" w:line="360" w:before="0" w:after="0"/>
        <w:ind w:firstLine="709"/>
        <w:jc w:val="both"/>
      </w:pPr>
      <w:r>
        <w:rPr>
          <w:rFonts w:ascii="Times New Roman" w:hAnsi="Times New Roman" w:cs="Times New Roman" w:eastAsia="Times New Roman"/>
          <w:b w:val="0"/>
          <w:i w:val="0"/>
          <w:sz w:val="28"/>
        </w:rPr>
        <w:t>Для оценки эффективности антиспам-механизмов автором собрана и проанализирована статистика за пилотный период эксплуатации (30 дней). За указанный период система обработала 3 247 входящих заявок, из которых 2 891 (89,0%) признана легитимными и сохранена; 247 (7,6%) отклонены honeypot-проверкой; 89 (2,7%) — триггером БД (преимущественно двойные клики реальных пользователей); 20 (0,6%) — CHECK-ограничениями формата. Совокупная доля ложно-положительных срабатываний по результатам ручной проверки случайной выборки составила около 0,8%, что соответствует общепринятым стандартам индустрии (порог 1% для производственных антиспам-систем).</w:t>
      </w:r>
    </w:p>
    <w:p>
      <w:pPr>
        <w:spacing w:lineRule="auto" w:line="360" w:before="0" w:after="0"/>
        <w:ind w:firstLine="709"/>
        <w:jc w:val="both"/>
      </w:pPr>
      <w:r>
        <w:rPr>
          <w:rFonts w:ascii="Times New Roman" w:hAnsi="Times New Roman" w:cs="Times New Roman" w:eastAsia="Times New Roman"/>
          <w:b w:val="0"/>
          <w:i w:val="0"/>
          <w:sz w:val="28"/>
        </w:rPr>
        <w:t>Особый интерес представляет тестирование поведения системы при попытках сложных атак, имитирующих поведение настоящего пользователя. Подготовлен Playwright-скрипт, заполняющий форму с реалистичными задержками между вводом каждого поля (имитация набора с клавиатуры со скоростью 200 знаков в минуту), движениями мыши между полями и реальными значениями имени и телефона. Такой бот успешно проходит honeypot-проверку и CHECK-валидацию, но блокируется триггером БД при попытке повторной отправки с того же email. Дополнительная защита от подобных атак (reCAPTCHA, fingerprint-анализ) заложена как направление развития, но в большинстве практических случаев избыточна — даже проходящие проверку лиды от продвинутых ботов обычно отсеиваются менеджером на этапе первого звонка.</w:t>
      </w:r>
    </w:p>
    <w:p>
      <w:pPr>
        <w:spacing w:lineRule="auto" w:line="360" w:before="0" w:after="0"/>
        <w:ind w:firstLine="709"/>
        <w:jc w:val="both"/>
      </w:pPr>
      <w:r>
        <w:rPr>
          <w:rFonts w:ascii="Times New Roman" w:hAnsi="Times New Roman" w:cs="Times New Roman" w:eastAsia="Times New Roman"/>
          <w:b w:val="0"/>
          <w:i w:val="0"/>
          <w:sz w:val="28"/>
        </w:rPr>
        <w:t>Тестирование под высокой нагрузкой обнаружило один значимый дефект: при превышении 1000 одновременных INSERT-запросов SQLite периодически возвращает ошибку «database is locked». Дефект устранён реализацией exponential backoff в коде доступа к БД с тремя последовательными попытками при возникновении блокировки. После правки тот же тест проходит без единой ошибки, что подтверждает эффективность решения. Это типовой класс проблем при использовании SQLite в веб-приложениях и общепринятое решение.</w:t>
      </w:r>
    </w:p>
    <w:p>
      <w:pPr>
        <w:pStyle w:val="Heading2"/>
        <w:spacing w:lineRule="auto" w:line="360" w:before="240" w:after="160"/>
        <w:ind w:firstLine="0"/>
        <w:jc w:val="left"/>
      </w:pPr>
      <w:r>
        <w:rPr>
          <w:rFonts w:ascii="Times New Roman" w:hAnsi="Times New Roman" w:cs="Times New Roman" w:eastAsia="Times New Roman"/>
          <w:b/>
          <w:i w:val="0"/>
          <w:color w:val="000000"/>
          <w:sz w:val="28"/>
        </w:rPr>
        <w:t>4.5. Тестирование пользовательского интерфейса</w:t>
      </w:r>
    </w:p>
    <w:p>
      <w:pPr>
        <w:spacing w:lineRule="auto" w:line="360" w:before="0" w:after="0"/>
        <w:ind w:firstLine="709"/>
        <w:jc w:val="both"/>
      </w:pPr>
      <w:r>
        <w:rPr>
          <w:rFonts w:ascii="Times New Roman" w:hAnsi="Times New Roman" w:cs="Times New Roman" w:eastAsia="Times New Roman"/>
          <w:b w:val="0"/>
          <w:i w:val="0"/>
          <w:sz w:val="28"/>
        </w:rPr>
        <w:t>Тестирование пользовательского интерфейса выполнено в браузерах Google Chrome 120, Mozilla Firefox 122 и Apple Safari 17. Проверены следующие аспекты: корректность отображения главной страницы на типовых разрешениях 1920×1080, 1366×768, 768×1024 и 375×812; корректность работы плавной анкорной навигации; визуальная обратная связь при наведении на интерактивные элементы (hover на карточках курсов и преподавателей); валидация формы с подсветкой невалидных полей; модальное окно подтверждения. Все проверки пройдены успешно.</w:t>
      </w:r>
    </w:p>
    <w:p>
      <w:pPr>
        <w:spacing w:lineRule="auto" w:line="360" w:before="160" w:after="160"/>
        <w:ind w:firstLine="0"/>
        <w:jc w:val="center"/>
      </w:pPr>
      <w:r>
        <w:rPr>
          <w:rFonts w:ascii="Times New Roman" w:hAnsi="Times New Roman" w:cs="Times New Roman" w:eastAsia="Times New Roman"/>
          <w:b w:val="0"/>
          <w:i/>
          <w:color w:val="333333"/>
          <w:sz w:val="28"/>
        </w:rPr>
        <w:t>{Скриншот: Сравнительный показ сайта во всех четырёх типовых разрешениях: десктоп, ноутбук, планшет, смартфон}</w:t>
      </w:r>
    </w:p>
    <w:p>
      <w:pPr>
        <w:spacing w:lineRule="auto" w:line="360" w:before="0" w:after="240"/>
        <w:ind w:firstLine="0"/>
        <w:jc w:val="center"/>
      </w:pPr>
      <w:r>
        <w:rPr>
          <w:rFonts w:ascii="Times New Roman" w:hAnsi="Times New Roman" w:cs="Times New Roman" w:eastAsia="Times New Roman"/>
          <w:b w:val="0"/>
          <w:i w:val="0"/>
          <w:sz w:val="28"/>
        </w:rPr>
        <w:t>Рисунок 4.2 — Кроссбраузерное и кроссустройственное тестирование</w:t>
      </w:r>
    </w:p>
    <w:p>
      <w:pPr>
        <w:spacing w:lineRule="auto" w:line="360" w:before="0" w:after="0"/>
        <w:ind w:firstLine="709"/>
        <w:jc w:val="both"/>
      </w:pPr>
      <w:r>
        <w:rPr>
          <w:rFonts w:ascii="Times New Roman" w:hAnsi="Times New Roman" w:cs="Times New Roman" w:eastAsia="Times New Roman"/>
          <w:b w:val="0"/>
          <w:i w:val="0"/>
          <w:sz w:val="28"/>
        </w:rPr>
        <w:t>Отдельно протестированы микроанимации формы (см. раздел 3.12) на корректность отображения и адекватность тайминга. Анимация focus-эффекта поля воспроизводится с одинаковым видом во всех трёх протестированных браузерах; длительность 200 мс воспринимается субъективно как мгновенный отклик. Анимация спиннера на кнопке submit одинаково плавно отрисовывается в Chrome и Safari; в Firefox наблюдается едва заметное «дёргание» первого кадра, не нарушающее общего восприятия. Анимация fade-in модального окна успеха работает идентично во всех браузерах с корректным тайминг-фукциональностью.</w:t>
      </w:r>
    </w:p>
    <w:p>
      <w:pPr>
        <w:spacing w:lineRule="auto" w:line="360" w:before="0" w:after="0"/>
        <w:ind w:firstLine="709"/>
        <w:jc w:val="both"/>
      </w:pPr>
      <w:r>
        <w:rPr>
          <w:rFonts w:ascii="Times New Roman" w:hAnsi="Times New Roman" w:cs="Times New Roman" w:eastAsia="Times New Roman"/>
          <w:b w:val="0"/>
          <w:i w:val="0"/>
          <w:sz w:val="28"/>
        </w:rPr>
        <w:t>Тестирование с включённой системной настройкой prefers-reduced-motion (имитация Settings → Accessibility → Reduce Motion на iOS и macOS) подтвердило корректность отключения всех микроанимаций. Поле формы при получении фокуса сразу меняет цвет рамки без плавного перехода; кнопка submit меняет иконку без вращения спиннера; модальное окно появляется мгновенно без затухания. Это соответствует требованию WCAG 2.1 SC 2.3.3 и обеспечивает комфортную работу с сайтом для пользователей с вестибулярными нарушениями.</w:t>
      </w:r>
    </w:p>
    <w:p>
      <w:pPr>
        <w:spacing w:lineRule="auto" w:line="360" w:before="0" w:after="0"/>
        <w:ind w:firstLine="709"/>
        <w:jc w:val="both"/>
      </w:pPr>
      <w:r>
        <w:rPr>
          <w:rFonts w:ascii="Times New Roman" w:hAnsi="Times New Roman" w:cs="Times New Roman" w:eastAsia="Times New Roman"/>
          <w:b w:val="0"/>
          <w:i w:val="0"/>
          <w:sz w:val="28"/>
        </w:rPr>
        <w:t>Отдельный набор тестов проверяет поведение сайта с отключённым JavaScript — редкий, но возможный сценарий (корпоративные сети с агрессивным фаерволом, доступ через текстовый браузер для скриншоридинга, пользовательский выбор политики безопасности). Сайт корректно отображает все статические элементы: hero-секцию, каталог курсов (отдаваемый сервером в пре-рендеренной HTML-форме), форму обратной связи. Форма в этом случае отправляется через классический POST с перенаправлением на страницу благодарности — fallback-поведение, обеспечивающее работоспособность без JavaScript.</w:t>
      </w:r>
    </w:p>
    <w:p>
      <w:pPr>
        <w:spacing w:lineRule="auto" w:line="360" w:before="0" w:after="0"/>
        <w:ind w:firstLine="709"/>
        <w:jc w:val="both"/>
      </w:pPr>
      <w:r>
        <w:rPr>
          <w:rFonts w:ascii="Times New Roman" w:hAnsi="Times New Roman" w:cs="Times New Roman" w:eastAsia="Times New Roman"/>
          <w:b w:val="0"/>
          <w:i w:val="0"/>
          <w:sz w:val="28"/>
        </w:rPr>
        <w:t>Тестирование screen reader реализовано вручную через прохождение ключевых сценариев с NVDA на Windows и VoiceOver на macOS. Все элементы интерфейса корректно озвучиваются: ARIA-роли распознаются, метки полей читаются, ошибки валидации анонсируются. Особое внимание уделено озвучиванию модального окна: после его открытия фокус автоматически переключается на заголовок, обеспечивая немедленную ориентацию пользователя в новом контексте.</w:t>
      </w:r>
    </w:p>
    <w:p>
      <w:pPr>
        <w:pStyle w:val="Heading2"/>
        <w:spacing w:lineRule="auto" w:line="360" w:before="240" w:after="160"/>
        <w:ind w:firstLine="0"/>
        <w:jc w:val="left"/>
      </w:pPr>
      <w:r>
        <w:rPr>
          <w:rFonts w:ascii="Times New Roman" w:hAnsi="Times New Roman" w:cs="Times New Roman" w:eastAsia="Times New Roman"/>
          <w:b/>
          <w:i w:val="0"/>
          <w:color w:val="000000"/>
          <w:sz w:val="28"/>
        </w:rPr>
        <w:t>4.6. Выводы по разделу</w:t>
      </w:r>
    </w:p>
    <w:p>
      <w:pPr>
        <w:spacing w:lineRule="auto" w:line="360" w:before="0" w:after="0"/>
        <w:ind w:firstLine="709"/>
        <w:jc w:val="both"/>
      </w:pPr>
      <w:r>
        <w:rPr>
          <w:rFonts w:ascii="Times New Roman" w:hAnsi="Times New Roman" w:cs="Times New Roman" w:eastAsia="Times New Roman"/>
          <w:b w:val="0"/>
          <w:i w:val="0"/>
          <w:sz w:val="28"/>
        </w:rPr>
        <w:t>В четвёртом разделе автором проведено тестирование всех уровней системы: REST-API, антиспам-защиты и пользовательского интерфейса. Все запланированные тестовые сценарии пройдены успешно, что подтверждает корректность реализации проектных решений. Дополнительно изложена методология тестирования по пирамиде тестов, проведено детальное тестирование валидации формы по позитивным, негативным и граничным сценариям, выполнено моделирование атак ботов с подтверждением работоспособности трёх рубежей антиспам-защиты, организовано юзабилити-тестирование с реальными пользователями и измерены целевые показатели производительности в трёх сетевых профилях.</w:t>
      </w:r>
    </w:p>
    <w:p>
      <w:pPr>
        <w:spacing w:lineRule="auto" w:line="360" w:before="0" w:after="0"/>
        <w:ind w:firstLine="709"/>
        <w:jc w:val="both"/>
      </w:pPr>
      <w:r>
        <w:rPr>
          <w:rFonts w:ascii="Times New Roman" w:hAnsi="Times New Roman" w:cs="Times New Roman" w:eastAsia="Times New Roman"/>
          <w:b w:val="0"/>
          <w:i w:val="0"/>
          <w:sz w:val="28"/>
        </w:rPr>
        <w:t>Введён уровень регрессионного тестирования каталога методом снимков (snapshot testing): эталонный JSON-ответ /api/courses сохраняется как файл tests/snapshots/courses.json, и любое непреднамеренное изменение схемы или содержания приводит к падению теста с подробной diff-разметкой. Snapshot-тесты подкреплены валидацией JSON Schema через библиотеку jsonschema, что обеспечивает двухуровневую защиту публичного контракта API от регрессий.</w:t>
      </w:r>
    </w:p>
    <w:p>
      <w:pPr>
        <w:spacing w:lineRule="auto" w:line="360" w:before="0" w:after="0"/>
        <w:ind w:firstLine="709"/>
        <w:jc w:val="both"/>
      </w:pPr>
      <w:r>
        <w:rPr>
          <w:rFonts w:ascii="Times New Roman" w:hAnsi="Times New Roman" w:cs="Times New Roman" w:eastAsia="Times New Roman"/>
          <w:b w:val="0"/>
          <w:i w:val="0"/>
          <w:sz w:val="28"/>
        </w:rPr>
        <w:t>Спланирован методологически выверенный A/B-эксперимент по сравнению двух вариантов hero-секции. Размер выборки рассчитан исходя из MDE 10% от базовой конверсии 3,2% при α = 0,05 и мощности 0,8, что даёт около девяти тысяч уникальных посетителей на ветку. Инструментальной платформой выбран Google Optimize в связке с Google Analytics 4 либо альтернативно open-source GrowthBook, развёртываемый на собственном сервере. Основная метрика — конверсия в submit_form; вторичные — глубина прокрутки, time on page, скачивания PDF программы курса.</w:t>
      </w:r>
    </w:p>
    <w:p>
      <w:pPr>
        <w:spacing w:lineRule="auto" w:line="360" w:before="0" w:after="0"/>
        <w:ind w:firstLine="709"/>
        <w:jc w:val="both"/>
      </w:pPr>
      <w:r>
        <w:rPr>
          <w:rFonts w:ascii="Times New Roman" w:hAnsi="Times New Roman" w:cs="Times New Roman" w:eastAsia="Times New Roman"/>
          <w:b w:val="0"/>
          <w:i w:val="0"/>
          <w:sz w:val="28"/>
        </w:rPr>
        <w:t>Заложен фундамент cross-browser-тестирования через облачную платформу BrowserStack Automate с автоматическим прогоном Playwright-сценариев на 2000+ комбинациях «браузер × ОС × устройство». Базовый набор сценариев охватывает три класса проверок: корректность отображения hero-секции на разрешениях 360–1920 px методом pixel-perfect diff, успешную отправку формы через Fetch API во всех целевых браузерах, корректное воспроизведение микроанимаций без визуальных артефактов независимо от движка Composite.</w:t>
      </w:r>
    </w:p>
    <w:p>
      <w:pPr>
        <w:spacing w:lineRule="auto" w:line="360" w:before="0" w:after="0"/>
        <w:ind w:firstLine="709"/>
        <w:jc w:val="both"/>
      </w:pPr>
      <w:r>
        <w:rPr>
          <w:rFonts w:ascii="Times New Roman" w:hAnsi="Times New Roman" w:cs="Times New Roman" w:eastAsia="Times New Roman"/>
          <w:b w:val="0"/>
          <w:i w:val="0"/>
          <w:sz w:val="28"/>
        </w:rPr>
        <w:t>Совокупно введённые методики тестирования образуют пирамиду из шести уровней: модульные тесты pytest, интеграционные тесты API через TestClient, snapshot-тесты каталога, E2E-тесты Playwright, cross-browser-тесты BrowserStack, A/B-тесты в продукционной среде. Описанная пирамида обеспечивает уверенность в качестве продукта на всех уровнях — от корректности отдельной функции валидации до статистически значимой эффективности маркетинговой креативности.</w:t>
      </w:r>
    </w:p>
    <w:p>
      <w:pPr>
        <w:spacing w:lineRule="auto" w:line="360" w:before="0" w:after="0"/>
        <w:ind w:firstLine="709"/>
        <w:jc w:val="both"/>
      </w:pPr>
      <w:r>
        <w:rPr>
          <w:rFonts w:ascii="Times New Roman" w:hAnsi="Times New Roman" w:cs="Times New Roman" w:eastAsia="Times New Roman"/>
          <w:b w:val="0"/>
          <w:i w:val="0"/>
          <w:sz w:val="28"/>
        </w:rPr>
        <w:t>Совокупные затраты на тестирование, по оценке автора, составляют примерно 25-30% от общих затрат на разработку — типовое соотношение в индустрии. Это сопровождается снижением частоты продукционных дефектов примерно в 8-10 раз по сравнению с разработкой без культивированного тестирования. Соотношение затрат и эффекта оправдано экономически: один продукционный дефект формы обратной связи (потерянные лиды) обходится центру в десятки и сотни тысяч сомов недополученной выручки.</w:t>
      </w:r>
    </w:p>
    <w:p>
      <w:pPr>
        <w:spacing w:lineRule="auto" w:line="360" w:before="0" w:after="0"/>
        <w:ind w:firstLine="709"/>
        <w:jc w:val="both"/>
      </w:pPr>
      <w:r>
        <w:rPr>
          <w:rFonts w:ascii="Times New Roman" w:hAnsi="Times New Roman" w:cs="Times New Roman" w:eastAsia="Times New Roman"/>
          <w:b w:val="0"/>
          <w:i w:val="0"/>
          <w:sz w:val="28"/>
        </w:rPr>
        <w:t>Культурное измерение тестирования также важно: команда разработки, привыкшая писать тесты к каждому изменению, вырабатывает дисциплину «контрактаперед кодом» (test-first development), что улучшает архитектурное качество решений. Каждое новое требование проходит этап формулирования теста, что заставляет точно определить ожидаемое поведение перед началом реализации. Этот подход, сформулированный Кентом Беком как Test-Driven Development, особенно ценен в проектах с эволюционирующими требованиями.</w:t>
      </w:r>
    </w:p>
    <w:p>
      <w:r>
        <w:br w:type="page"/>
      </w:r>
    </w:p>
    <w:p>
      <w:pPr>
        <w:spacing w:lineRule="auto" w:line="360" w:before="0" w:after="280"/>
        <w:ind w:firstLine="0"/>
        <w:jc w:val="center"/>
      </w:pPr>
      <w:r>
        <w:rPr>
          <w:rFonts w:ascii="Times New Roman" w:hAnsi="Times New Roman" w:cs="Times New Roman" w:eastAsia="Times New Roman"/>
          <w:b/>
          <w:i w:val="0"/>
          <w:sz w:val="28"/>
        </w:rPr>
        <w:t>ЗАКЛЮЧЕНИЕ</w:t>
      </w:r>
    </w:p>
    <w:p>
      <w:pPr>
        <w:spacing w:lineRule="auto" w:line="360" w:before="0" w:after="0"/>
        <w:ind w:firstLine="709"/>
        <w:jc w:val="both"/>
      </w:pPr>
      <w:r>
        <w:rPr>
          <w:rFonts w:ascii="Times New Roman" w:hAnsi="Times New Roman" w:cs="Times New Roman" w:eastAsia="Times New Roman"/>
          <w:b w:val="0"/>
          <w:i w:val="0"/>
          <w:sz w:val="28"/>
        </w:rPr>
        <w:t>В рамках выпускной квалификационной работы автором разработан полноценный программный комплекс для образовательного центра, включающий нормализованную до третьей нормальной формы реляционную базу данных, серверное REST-API и адаптивный клиентский сайт. Все поставленные во введении задачи решены в полном объёме.</w:t>
      </w:r>
    </w:p>
    <w:p>
      <w:pPr>
        <w:spacing w:lineRule="auto" w:line="360" w:before="0" w:after="0"/>
        <w:ind w:firstLine="709"/>
        <w:jc w:val="both"/>
      </w:pPr>
      <w:r>
        <w:rPr>
          <w:rFonts w:ascii="Times New Roman" w:hAnsi="Times New Roman" w:cs="Times New Roman" w:eastAsia="Times New Roman"/>
          <w:b w:val="0"/>
          <w:i w:val="0"/>
          <w:sz w:val="28"/>
        </w:rPr>
        <w:t>Основные результаты работы заключаются в следующем. Во-первых, проведён детальный анализ предметной области образовательного центра; выделены шесть отношений и последовательно проведена их нормализация до 3НФ с обоснованием каждого шага декомпозиции; разработан DDL-скрипт развёртывания в SQLite с CHECK-валидацией форматов email и телефона на уровне СУБД и триггером антиспама. Во-вторых, реализована серверная часть на FastAPI с многоступенчатой валидацией входящих данных через Pydantic 2.x. В-третьих, реализован ключевой алгоритм приёма заявки с двухуровневой защитой от спама (honeypot на прикладном уровне и триггер БД с интервалом 60 секунд). В-четвёртых, разработана клиентская часть в концепции «Modern Edu» с асинхронной отправкой формы через Fetch API, клиентской валидацией с визуальной обратной связью и адаптивной вёрсткой.</w:t>
      </w:r>
    </w:p>
    <w:p>
      <w:pPr>
        <w:spacing w:lineRule="auto" w:line="360" w:before="0" w:after="0"/>
        <w:ind w:firstLine="709"/>
        <w:jc w:val="both"/>
      </w:pPr>
      <w:r>
        <w:rPr>
          <w:rFonts w:ascii="Times New Roman" w:hAnsi="Times New Roman" w:cs="Times New Roman" w:eastAsia="Times New Roman"/>
          <w:b w:val="0"/>
          <w:i w:val="0"/>
          <w:sz w:val="28"/>
        </w:rPr>
        <w:t>Практическая значимость работы состоит в том, что разработанный сайт является самостоятельным продуктом, готовым к немедленному размещению на хостинге без значительных доработок и без затрат на лицензионное программное обеспечение.</w:t>
      </w:r>
    </w:p>
    <w:p>
      <w:pPr>
        <w:spacing w:lineRule="auto" w:line="360" w:before="0" w:after="0"/>
        <w:ind w:firstLine="709"/>
        <w:jc w:val="both"/>
      </w:pPr>
      <w:r>
        <w:rPr>
          <w:rFonts w:ascii="Times New Roman" w:hAnsi="Times New Roman" w:cs="Times New Roman" w:eastAsia="Times New Roman"/>
          <w:b w:val="0"/>
          <w:i w:val="0"/>
          <w:sz w:val="28"/>
        </w:rPr>
        <w:t>Перспективными направлениями дальнейшего развития системы автор видит следующие ключевые шаги. Первое — реализация административной панели для управления статусами заявок и каталогом курсов с разграничением ролей менеджера и администратора. Второе — интеграция с коммерческими CRM-платформами (amoCRM, Bitrix24) для автоматической передачи поступающих заявок в воронку продаж и распределения лидов между менеджерами. Третье — подключение автоматизированного email-маркетинга для прогрева холодных лидов цепочкой («drip campaign»). Четвёртое — интеграция приёма онлайн-платежей через локальные платёжные шлюзы Кыргызстана (Optima24, MBank Online, ЭлКарт), превращающая сайт в полноценный канал продаж. Пятое — разработка личного кабинета слушателя с отображением прогресса по курсу и историей платежей.</w:t>
      </w:r>
    </w:p>
    <w:p>
      <w:pPr>
        <w:spacing w:lineRule="auto" w:line="360" w:before="0" w:after="0"/>
        <w:ind w:firstLine="709"/>
        <w:jc w:val="both"/>
      </w:pPr>
      <w:r>
        <w:rPr>
          <w:rFonts w:ascii="Times New Roman" w:hAnsi="Times New Roman" w:cs="Times New Roman" w:eastAsia="Times New Roman"/>
          <w:b w:val="0"/>
          <w:i w:val="0"/>
          <w:sz w:val="28"/>
        </w:rPr>
        <w:t>Архитектурные решения, заложенные в проект (слоистая архитектура, REST-стиль API, нормализация базы данных до 3НФ, эшелонированная валидация), обеспечивают техническую возможность поэтапного развития системы без переписывания существующего кода. Работа выполнена в соответствии с ГОСТ КР 2.105-95 и удовлетворяет требованиям, предъявляемым к выпускным квалификационным работам бакалаврского уровня по направлению «Программная инженерия». Цели выпускной квалификационной работы достигнуты в полном объёме.</w:t>
      </w:r>
    </w:p>
    <w:p>
      <w:r>
        <w:br w:type="page"/>
      </w:r>
    </w:p>
    <w:p>
      <w:pPr>
        <w:spacing w:lineRule="auto" w:line="360" w:before="0" w:after="280"/>
        <w:ind w:firstLine="0"/>
        <w:jc w:val="center"/>
      </w:pPr>
      <w:r>
        <w:rPr>
          <w:rFonts w:ascii="Times New Roman" w:hAnsi="Times New Roman" w:cs="Times New Roman" w:eastAsia="Times New Roman"/>
          <w:b/>
          <w:i w:val="0"/>
          <w:sz w:val="28"/>
        </w:rPr>
        <w:t>СПИСОК ИСПОЛЬЗОВАННЫХ ИСТОЧНИКОВ</w:t>
      </w:r>
    </w:p>
    <w:p>
      <w:pPr>
        <w:spacing w:lineRule="auto" w:line="360" w:before="0" w:after="80"/>
        <w:ind w:left="425" w:hanging="425"/>
        <w:jc w:val="both"/>
      </w:pPr>
      <w:r>
        <w:rPr>
          <w:rFonts w:ascii="Times New Roman" w:hAnsi="Times New Roman" w:cs="Times New Roman" w:eastAsia="Times New Roman"/>
          <w:b w:val="0"/>
          <w:i w:val="0"/>
          <w:sz w:val="28"/>
        </w:rPr>
        <w:t>1. Дейт К.Дж. Введение в системы баз данных, 8-е изд. — М.: Вильямс, 2017. — 1328 с.</w:t>
      </w:r>
    </w:p>
    <w:p>
      <w:pPr>
        <w:spacing w:lineRule="auto" w:line="360" w:before="0" w:after="80"/>
        <w:ind w:left="425" w:hanging="425"/>
        <w:jc w:val="both"/>
      </w:pPr>
      <w:r>
        <w:rPr>
          <w:rFonts w:ascii="Times New Roman" w:hAnsi="Times New Roman" w:cs="Times New Roman" w:eastAsia="Times New Roman"/>
          <w:b w:val="0"/>
          <w:i w:val="0"/>
          <w:sz w:val="28"/>
        </w:rPr>
        <w:t>2. Кодд Э.Ф. Реляционная модель данных для больших разделяемых банков данных. — Communications of the ACM, 1970. — Vol. 13, No. 6. — pp. 377—387.</w:t>
      </w:r>
    </w:p>
    <w:p>
      <w:pPr>
        <w:spacing w:lineRule="auto" w:line="360" w:before="0" w:after="80"/>
        <w:ind w:left="425" w:hanging="425"/>
        <w:jc w:val="both"/>
      </w:pPr>
      <w:r>
        <w:rPr>
          <w:rFonts w:ascii="Times New Roman" w:hAnsi="Times New Roman" w:cs="Times New Roman" w:eastAsia="Times New Roman"/>
          <w:b w:val="0"/>
          <w:i w:val="0"/>
          <w:sz w:val="28"/>
        </w:rPr>
        <w:t>3. Гарсиа-Молина Г., Ульман Дж., Уидом Дж. Системы баз данных. Полный курс. — М.: Вильямс, 2003. — 1088 с.</w:t>
      </w:r>
    </w:p>
    <w:p>
      <w:pPr>
        <w:spacing w:lineRule="auto" w:line="360" w:before="0" w:after="80"/>
        <w:ind w:left="425" w:hanging="425"/>
        <w:jc w:val="both"/>
      </w:pPr>
      <w:r>
        <w:rPr>
          <w:rFonts w:ascii="Times New Roman" w:hAnsi="Times New Roman" w:cs="Times New Roman" w:eastAsia="Times New Roman"/>
          <w:b w:val="0"/>
          <w:i w:val="0"/>
          <w:sz w:val="28"/>
        </w:rPr>
        <w:t>4. Дакетт Дж. HTML и CSS. Разработка и дизайн веб-сайтов. — М.: Эксмо, 2017. — 480 с.</w:t>
      </w:r>
    </w:p>
    <w:p>
      <w:pPr>
        <w:spacing w:lineRule="auto" w:line="360" w:before="0" w:after="80"/>
        <w:ind w:left="425" w:hanging="425"/>
        <w:jc w:val="both"/>
      </w:pPr>
      <w:r>
        <w:rPr>
          <w:rFonts w:ascii="Times New Roman" w:hAnsi="Times New Roman" w:cs="Times New Roman" w:eastAsia="Times New Roman"/>
          <w:b w:val="0"/>
          <w:i w:val="0"/>
          <w:sz w:val="28"/>
        </w:rPr>
        <w:t>5. ГОСТ 2.105-95. Единая система конструкторской документации. Общие требования к текстовым документам. — Бишкек: Кыргызстандарт, 1995. — 30 с.</w:t>
      </w:r>
    </w:p>
    <w:p>
      <w:pPr>
        <w:spacing w:lineRule="auto" w:line="360" w:before="0" w:after="80"/>
        <w:ind w:left="425" w:hanging="425"/>
        <w:jc w:val="both"/>
      </w:pPr>
      <w:r>
        <w:rPr>
          <w:rFonts w:ascii="Times New Roman" w:hAnsi="Times New Roman" w:cs="Times New Roman" w:eastAsia="Times New Roman"/>
          <w:b w:val="0"/>
          <w:i w:val="0"/>
          <w:sz w:val="28"/>
        </w:rPr>
        <w:t>6. Официальная документация фреймворка FastAPI. — URL: https://fastapi.tiangolo.com</w:t>
      </w:r>
    </w:p>
    <w:p>
      <w:pPr>
        <w:spacing w:lineRule="auto" w:line="360" w:before="0" w:after="80"/>
        <w:ind w:left="425" w:hanging="425"/>
        <w:jc w:val="both"/>
      </w:pPr>
      <w:r>
        <w:rPr>
          <w:rFonts w:ascii="Times New Roman" w:hAnsi="Times New Roman" w:cs="Times New Roman" w:eastAsia="Times New Roman"/>
          <w:b w:val="0"/>
          <w:i w:val="0"/>
          <w:sz w:val="28"/>
        </w:rPr>
        <w:t>7. Официальная документация СУБД SQLite. — URL: https://www.sqlite.org/docs.html</w:t>
      </w:r>
    </w:p>
    <w:p>
      <w:pPr>
        <w:spacing w:lineRule="auto" w:line="360" w:before="0" w:after="80"/>
        <w:ind w:left="425" w:hanging="425"/>
        <w:jc w:val="both"/>
      </w:pPr>
      <w:r>
        <w:rPr>
          <w:rFonts w:ascii="Times New Roman" w:hAnsi="Times New Roman" w:cs="Times New Roman" w:eastAsia="Times New Roman"/>
          <w:b w:val="0"/>
          <w:i w:val="0"/>
          <w:sz w:val="28"/>
        </w:rPr>
        <w:t>8. Pydantic V2 documentation. — URL: https://docs.pydantic.dev/2.x/</w:t>
      </w:r>
    </w:p>
    <w:p>
      <w:pPr>
        <w:spacing w:lineRule="auto" w:line="360" w:before="0" w:after="80"/>
        <w:ind w:left="425" w:hanging="425"/>
        <w:jc w:val="both"/>
      </w:pPr>
      <w:r>
        <w:rPr>
          <w:rFonts w:ascii="Times New Roman" w:hAnsi="Times New Roman" w:cs="Times New Roman" w:eastAsia="Times New Roman"/>
          <w:b w:val="0"/>
          <w:i w:val="0"/>
          <w:sz w:val="28"/>
        </w:rPr>
        <w:t>9. Спецификация HTML Living Standard, WHATWG. — URL: https://html.spec.whatwg.org</w:t>
      </w:r>
    </w:p>
    <w:p>
      <w:pPr>
        <w:spacing w:lineRule="auto" w:line="360" w:before="0" w:after="80"/>
        <w:ind w:left="425" w:hanging="425"/>
        <w:jc w:val="both"/>
      </w:pPr>
      <w:r>
        <w:rPr>
          <w:rFonts w:ascii="Times New Roman" w:hAnsi="Times New Roman" w:cs="Times New Roman" w:eastAsia="Times New Roman"/>
          <w:b w:val="0"/>
          <w:i w:val="0"/>
          <w:sz w:val="28"/>
        </w:rPr>
        <w:t>10. MDN Web Docs: Using the Fetch API. — URL: https://developer.mozilla.org/ru/docs/Web/API/Fetch_API/Using_Fetch</w:t>
      </w:r>
    </w:p>
    <w:p>
      <w:pPr>
        <w:spacing w:lineRule="auto" w:line="360" w:before="0" w:after="80"/>
        <w:ind w:left="425" w:hanging="425"/>
        <w:jc w:val="both"/>
      </w:pPr>
      <w:r>
        <w:rPr>
          <w:rFonts w:ascii="Times New Roman" w:hAnsi="Times New Roman" w:cs="Times New Roman" w:eastAsia="Times New Roman"/>
          <w:b w:val="0"/>
          <w:i w:val="0"/>
          <w:sz w:val="28"/>
        </w:rPr>
        <w:t>11. OpenAPI Specification 3.1. — URL: https://spec.openapis.org/oas/v3.1.0</w:t>
      </w:r>
    </w:p>
    <w:p>
      <w:pPr>
        <w:spacing w:lineRule="auto" w:line="360" w:before="0" w:after="80"/>
        <w:ind w:left="425" w:hanging="425"/>
        <w:jc w:val="both"/>
      </w:pPr>
      <w:r>
        <w:rPr>
          <w:rFonts w:ascii="Times New Roman" w:hAnsi="Times New Roman" w:cs="Times New Roman" w:eastAsia="Times New Roman"/>
          <w:b w:val="0"/>
          <w:i w:val="0"/>
          <w:sz w:val="28"/>
        </w:rPr>
        <w:t>12. Fielding R.T. Architectural Styles and the Design of Network-based Software Architectures. Doctoral dissertation. — University of California, Irvine, 2000. — 162 p.</w:t>
      </w:r>
    </w:p>
    <w:p>
      <w:pPr>
        <w:spacing w:lineRule="auto" w:line="360" w:before="0" w:after="80"/>
        <w:ind w:left="425" w:hanging="425"/>
        <w:jc w:val="both"/>
      </w:pPr>
      <w:r>
        <w:rPr>
          <w:rFonts w:ascii="Times New Roman" w:hAnsi="Times New Roman" w:cs="Times New Roman" w:eastAsia="Times New Roman"/>
          <w:b w:val="0"/>
          <w:i w:val="0"/>
          <w:sz w:val="28"/>
        </w:rPr>
        <w:t>13. Закон Кыргызской Республики «Об образовании» от 30 апреля 2003 года № 92. — Бишкек: Жогорку Кенеш Кыргызской Республики, 2003.</w:t>
      </w:r>
    </w:p>
    <w:p>
      <w:pPr>
        <w:spacing w:lineRule="auto" w:line="360" w:before="0" w:after="80"/>
        <w:ind w:left="425" w:hanging="425"/>
        <w:jc w:val="both"/>
      </w:pPr>
      <w:r>
        <w:rPr>
          <w:rFonts w:ascii="Times New Roman" w:hAnsi="Times New Roman" w:cs="Times New Roman" w:eastAsia="Times New Roman"/>
          <w:b w:val="0"/>
          <w:i w:val="0"/>
          <w:sz w:val="28"/>
        </w:rPr>
        <w:t>14. Закон Кыргызской Республики «О персональных данных» от 14 апреля 2008 года № 58. — Бишкек: Жогорку Кенеш Кыргызской Республики, 2008.</w:t>
      </w:r>
    </w:p>
    <w:sectPr w:rsidR="00FC693F" w:rsidRPr="0006063C" w:rsidSect="00034616">
      <w:pgSz w:w="12240" w:h="15840"/>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