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120"/>
        <w:ind w:firstLine="0"/>
        <w:jc w:val="center"/>
      </w:pPr>
      <w:r>
        <w:rPr>
          <w:rFonts w:ascii="Times New Roman" w:hAnsi="Times New Roman" w:cs="Times New Roman" w:eastAsia="Times New Roman"/>
          <w:b w:val="0"/>
          <w:i w:val="0"/>
          <w:sz w:val="28"/>
        </w:rPr>
        <w:t>МИНИСТЕРСТВО ОБРАЗОВАНИЯ И НАУКИ КЫРГЫЗСКОЙ РЕСПУБЛИКИ</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t>{ПОЛНОЕ НАИМЕНОВАНИЕ УЧЕБНОГО ЗАВЕДЕНИЯ}</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t>Факультет информационных технологий</w:t>
      </w:r>
    </w:p>
    <w:p>
      <w:pPr>
        <w:spacing w:lineRule="auto" w:line="360" w:before="0" w:after="120"/>
        <w:ind w:firstLine="0"/>
        <w:jc w:val="center"/>
      </w:pPr>
      <w:r>
        <w:rPr>
          <w:rFonts w:ascii="Times New Roman" w:hAnsi="Times New Roman" w:cs="Times New Roman" w:eastAsia="Times New Roman"/>
          <w:b w:val="0"/>
          <w:i w:val="0"/>
          <w:sz w:val="28"/>
        </w:rPr>
        <w:t>Кафедра программной инженерии</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i w:val="0"/>
          <w:sz w:val="32"/>
        </w:rPr>
        <w:t>ПОЯСНИТЕЛЬНАЯ ЗАПИСКА</w:t>
      </w:r>
    </w:p>
    <w:p>
      <w:pPr>
        <w:spacing w:lineRule="auto" w:line="360" w:before="0" w:after="120"/>
        <w:ind w:firstLine="0"/>
        <w:jc w:val="center"/>
      </w:pPr>
      <w:r>
        <w:rPr>
          <w:rFonts w:ascii="Times New Roman" w:hAnsi="Times New Roman" w:cs="Times New Roman" w:eastAsia="Times New Roman"/>
          <w:b w:val="0"/>
          <w:i w:val="0"/>
          <w:sz w:val="28"/>
        </w:rPr>
        <w:t>к выпускной квалификационной работе</w:t>
      </w:r>
    </w:p>
    <w:p>
      <w:pPr>
        <w:spacing w:lineRule="auto" w:line="360" w:before="0" w:after="120"/>
        <w:ind w:firstLine="0"/>
        <w:jc w:val="center"/>
      </w:pPr>
      <w:r>
        <w:rPr>
          <w:rFonts w:ascii="Times New Roman" w:hAnsi="Times New Roman" w:cs="Times New Roman" w:eastAsia="Times New Roman"/>
          <w:b w:val="0"/>
          <w:i w:val="0"/>
          <w:sz w:val="28"/>
        </w:rPr>
        <w:t>на тему:</w:t>
      </w:r>
    </w:p>
    <w:p>
      <w:pPr>
        <w:spacing w:lineRule="auto" w:line="360" w:before="0" w:after="120"/>
        <w:ind w:firstLine="0"/>
        <w:jc w:val="center"/>
      </w:pPr>
      <w:r>
        <w:rPr>
          <w:rFonts w:ascii="Times New Roman" w:hAnsi="Times New Roman" w:cs="Times New Roman" w:eastAsia="Times New Roman"/>
          <w:b/>
          <w:i w:val="0"/>
          <w:sz w:val="28"/>
        </w:rPr>
        <w:t>«Разработка базы данных для учёта заявок на техническое обслуживание»</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60"/>
        <w:ind w:firstLine="0"/>
        <w:jc w:val="both"/>
      </w:pPr>
      <w:r>
        <w:rPr>
          <w:rFonts w:ascii="Times New Roman" w:hAnsi="Times New Roman" w:cs="Times New Roman" w:eastAsia="Times New Roman"/>
          <w:b w:val="0"/>
          <w:i w:val="0"/>
          <w:sz w:val="28"/>
        </w:rPr>
        <w:t>Выполнил студент: ________________________________________</w:t>
      </w:r>
    </w:p>
    <w:p>
      <w:pPr>
        <w:spacing w:lineRule="auto" w:line="360" w:before="0" w:after="160"/>
        <w:ind w:firstLine="0"/>
        <w:jc w:val="both"/>
      </w:pPr>
      <w:r>
        <w:rPr>
          <w:rFonts w:ascii="Times New Roman" w:hAnsi="Times New Roman" w:cs="Times New Roman" w:eastAsia="Times New Roman"/>
          <w:b w:val="0"/>
          <w:i w:val="0"/>
          <w:sz w:val="28"/>
        </w:rPr>
        <w:t>Группа: _________________________________________________</w:t>
      </w:r>
    </w:p>
    <w:p>
      <w:pPr>
        <w:spacing w:lineRule="auto" w:line="360" w:before="0" w:after="160"/>
        <w:ind w:firstLine="0"/>
        <w:jc w:val="both"/>
      </w:pPr>
      <w:r>
        <w:rPr>
          <w:rFonts w:ascii="Times New Roman" w:hAnsi="Times New Roman" w:cs="Times New Roman" w:eastAsia="Times New Roman"/>
          <w:b w:val="0"/>
          <w:i w:val="0"/>
          <w:sz w:val="28"/>
        </w:rPr>
        <w:t>Научный руководитель: ____________________________________</w:t>
      </w:r>
    </w:p>
    <w:p>
      <w:pPr>
        <w:spacing w:lineRule="auto" w:line="360" w:before="0" w:after="160"/>
        <w:ind w:firstLine="0"/>
        <w:jc w:val="both"/>
      </w:pPr>
      <w:r>
        <w:rPr>
          <w:rFonts w:ascii="Times New Roman" w:hAnsi="Times New Roman" w:cs="Times New Roman" w:eastAsia="Times New Roman"/>
          <w:b w:val="0"/>
          <w:i w:val="0"/>
          <w:sz w:val="28"/>
        </w:rPr>
        <w:t>Заведующий кафедрой: ____________________________________</w:t>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r>
    </w:p>
    <w:p>
      <w:pPr>
        <w:spacing w:lineRule="auto" w:line="360" w:before="0" w:after="120"/>
        <w:ind w:firstLine="0"/>
        <w:jc w:val="center"/>
      </w:pPr>
      <w:r>
        <w:rPr>
          <w:rFonts w:ascii="Times New Roman" w:hAnsi="Times New Roman" w:cs="Times New Roman" w:eastAsia="Times New Roman"/>
          <w:b w:val="0"/>
          <w:i w:val="0"/>
          <w:sz w:val="28"/>
        </w:rPr>
        <w:t>Бишкек — 2026</w:t>
      </w:r>
    </w:p>
    <w:p>
      <w:r>
        <w:br w:type="page"/>
      </w:r>
    </w:p>
    <w:p>
      <w:pPr>
        <w:spacing w:lineRule="auto" w:line="360" w:before="0" w:after="280"/>
        <w:ind w:firstLine="0"/>
        <w:jc w:val="center"/>
      </w:pPr>
      <w:r>
        <w:rPr>
          <w:rFonts w:ascii="Times New Roman" w:hAnsi="Times New Roman" w:cs="Times New Roman" w:eastAsia="Times New Roman"/>
          <w:b/>
          <w:i w:val="0"/>
          <w:sz w:val="28"/>
        </w:rPr>
        <w:t>СОДЕРЖАНИЕ</w:t>
      </w:r>
    </w:p>
    <w:tbl>
      <w:tblPr>
        <w:tblW w:type="auto" w:w="0"/>
        <w:jc w:val="center"/>
        <w:tblLook w:firstColumn="1" w:firstRow="1" w:lastColumn="0" w:lastRow="0" w:noHBand="0" w:noVBand="1" w:val="04A0"/>
      </w:tblPr>
      <w:tblGrid>
        <w:gridCol w:w="4986"/>
        <w:gridCol w:w="4986"/>
      </w:tblGrid>
      <w:tr>
        <w:tc>
          <w:tcPr>
            <w:tcW w:type="dxa" w:w="7654"/>
          </w:tcPr>
          <w:p>
            <w:pPr>
              <w:spacing w:lineRule="auto" w:line="288" w:before="0" w:after="0"/>
              <w:ind w:firstLine="0"/>
              <w:jc w:val="left"/>
            </w:pPr>
            <w:r/>
            <w:r>
              <w:rPr>
                <w:rFonts w:ascii="Times New Roman" w:hAnsi="Times New Roman" w:cs="Times New Roman" w:eastAsia="Times New Roman"/>
                <w:b/>
                <w:i w:val="0"/>
                <w:sz w:val="28"/>
              </w:rPr>
              <w:t>ВВЕДЕНИЕ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1. ПРОЕКТИРОВАНИЕ БАЗЫ ДАННЫХ</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 Характеристика предметной области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1.2. Цели и задачи раздела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1.3. Приведение к первой нормальной форме (1НФ)</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15</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1.4. Приведение ко второй нормальной форме (2НФ)</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17</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1.5. Приведение к третьей нормальной форме (3НФ)</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20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1.6. Логическая схема базы данных</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24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1.7. Реализация в SQLite (DDL-скрипт)</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27</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1.8. Выводы по разделу (этап нормализации)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1.9. Историческая цена запчасти и финансовая достоверность</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1.10. Аудит-журнал смен статуса и принцип неизменяемости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37</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1.11. Индексирование под характерные запросы диспетчера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40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1.12. Двухуровневая защита целостности данных</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43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1.13. Перспективные расширения схемы для эксплуатации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46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1.14. Выводы по разделу</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49</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2. ПРОГРАММНАЯ РЕАЛИЗАЦИЯ СЕРВЕРНОЙ ЧАСТИ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50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 Обоснование выбора инструментальных средств</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50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2.2. Архитектура серверного приложения</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54</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2.3. CRUD-эндпоинты для заявок и оборудования</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57</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2.4. Алгоритм закрытия заявки со списанием запчастей</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60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2.5. Транзакционная целостность операций</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65</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2.6. ACID-свойства транзакции закрытия заявки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68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2.7. Обработка ошибок: 4xx и 5xx как контракт API</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2.8. Наблюдаемость: журналирование, метрики, retention</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75</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2.9. Безопасность и защита аудит-следа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79</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2.10. Интеграции с производственными системами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2.11. Выводы по разделу</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87</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3. ПРОГРАММНАЯ РЕАЛИЗАЦИЯ КЛИЕНТСКОЙ ЧАСТИ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3.1. UX/UI-концепция «Enterprise Dashboard»</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88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3.2. Структура интерфейса диспетчера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3.3. Цветовая маркировка приоритетов в таблице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3.4. Канбан-доска заявок на CSS Grid</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98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3.5. Назначение исполнителя «в один клик»</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100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3.6. Динамическое закрытие заявки и Fetch API</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103</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3.7. Адаптивная вёрстка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106</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3.8. Соответствие 10 эвристикам Якоба Нильсена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108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3.9. Информационная плотность по Тафти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3.10. Канбан-методология и принципы Lean</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115</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3.11. Доступность по WCAG 2.1 AA</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118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3.12. Производительность и Core Web Vitals</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121</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3.13. Выводы по разделу</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124</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4. ТЕСТИРОВАНИЕ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125</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4.1. Тестирование ключевого алгоритма закрытия заявки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125</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4.2. Тестирование REST-API и фильтрации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128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4.3. Тестирование пользовательского интерфейса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130</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4.4. Тестирование транзакционности и устойчивости к сбоям</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132</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4.5. Тестирование производительности</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135</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4.6. Тестирование разграничения ролей</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138</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4.7. Юзабилити-тестирование и эвристическая оценка</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141</w:t>
            </w:r>
          </w:p>
        </w:tc>
      </w:tr>
      <w:tr>
        <w:tc>
          <w:tcPr>
            <w:tcW w:type="dxa" w:w="7654"/>
          </w:tcPr>
          <w:p>
            <w:pPr>
              <w:spacing w:lineRule="auto" w:line="288" w:before="0" w:after="0"/>
              <w:ind w:firstLine="0"/>
              <w:jc w:val="left"/>
            </w:pPr>
            <w:r/>
            <w:r>
              <w:rPr>
                <w:rFonts w:ascii="Times New Roman" w:hAnsi="Times New Roman" w:cs="Times New Roman" w:eastAsia="Times New Roman"/>
                <w:b w:val="0"/>
                <w:i w:val="0"/>
                <w:sz w:val="28"/>
              </w:rPr>
              <w:t xml:space="preserve">    4.8. Выводы по разделу</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144</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ЗАКЛЮЧЕНИЕ</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145</w:t>
            </w:r>
          </w:p>
        </w:tc>
      </w:tr>
      <w:tr>
        <w:tc>
          <w:tcPr>
            <w:tcW w:type="dxa" w:w="7654"/>
          </w:tcPr>
          <w:p>
            <w:pPr>
              <w:spacing w:lineRule="auto" w:line="288" w:before="0" w:after="0"/>
              <w:ind w:firstLine="0"/>
              <w:jc w:val="left"/>
            </w:pPr>
            <w:r/>
            <w:r>
              <w:rPr>
                <w:rFonts w:ascii="Times New Roman" w:hAnsi="Times New Roman" w:cs="Times New Roman" w:eastAsia="Times New Roman"/>
                <w:b/>
                <w:i w:val="0"/>
                <w:sz w:val="28"/>
              </w:rPr>
              <w:t>СПИСОК ИСПОЛЬЗОВАННЫХ ИСТОЧНИКОВ</w:t>
            </w:r>
          </w:p>
        </w:tc>
        <w:tc>
          <w:tcPr>
            <w:tcW w:type="dxa" w:w="1417"/>
          </w:tcPr>
          <w:p>
            <w:pPr>
              <w:spacing w:lineRule="auto" w:line="288" w:before="0" w:after="0"/>
              <w:ind w:firstLine="0"/>
              <w:jc w:val="right"/>
            </w:pPr>
            <w:r/>
            <w:r>
              <w:rPr>
                <w:rFonts w:ascii="Times New Roman" w:hAnsi="Times New Roman" w:cs="Times New Roman" w:eastAsia="Times New Roman"/>
                <w:b w:val="0"/>
                <w:i w:val="0"/>
                <w:sz w:val="28"/>
              </w:rPr>
              <w:t>149</w:t>
            </w:r>
          </w:p>
        </w:tc>
      </w:tr>
    </w:tbl>
    <w:p>
      <w:r>
        <w:br w:type="page"/>
      </w:r>
    </w:p>
    <w:p>
      <w:pPr>
        <w:spacing w:lineRule="auto" w:line="360" w:before="0" w:after="280"/>
        <w:ind w:firstLine="0"/>
        <w:jc w:val="center"/>
      </w:pPr>
      <w:r>
        <w:rPr>
          <w:rFonts w:ascii="Times New Roman" w:hAnsi="Times New Roman" w:cs="Times New Roman" w:eastAsia="Times New Roman"/>
          <w:b/>
          <w:i w:val="0"/>
          <w:sz w:val="28"/>
        </w:rPr>
        <w:t>ВВЕДЕНИЕ</w:t>
      </w:r>
    </w:p>
    <w:p>
      <w:pPr>
        <w:spacing w:lineRule="auto" w:line="360" w:before="0" w:after="0"/>
        <w:ind w:firstLine="709"/>
        <w:jc w:val="both"/>
      </w:pPr>
      <w:r>
        <w:rPr>
          <w:rFonts w:ascii="Times New Roman" w:hAnsi="Times New Roman" w:cs="Times New Roman" w:eastAsia="Times New Roman"/>
          <w:b w:val="0"/>
          <w:i w:val="0"/>
          <w:sz w:val="28"/>
        </w:rPr>
        <w:t>В современной промышленности коэффициент технической готовности оборудования (Overall Equipment Effectiveness) является одним из ключевых показателей эффективности производственного предприятия. Внеплановые простои станков, конвейерных линий и погрузочной техники по причине поздно обнаруженных неисправностей приводят к прямым финансовым потерям, нарушению графика поставок и снижению маржинальности производства. По данным отраслевых исследований, до 30% продолжительности устранения инцидентов на промышленных предприятиях занимают не сами ремонтные работы, а сопутствующие организационные процессы: поиск виновного оборудования по бумажным журналам, обнаружение и доставка запасных частей со склада, согласование исполнителя.</w:t>
      </w:r>
    </w:p>
    <w:p>
      <w:pPr>
        <w:spacing w:lineRule="auto" w:line="360" w:before="0" w:after="0"/>
        <w:ind w:firstLine="709"/>
        <w:jc w:val="both"/>
      </w:pPr>
      <w:r>
        <w:rPr>
          <w:rFonts w:ascii="Times New Roman" w:hAnsi="Times New Roman" w:cs="Times New Roman" w:eastAsia="Times New Roman"/>
          <w:b w:val="0"/>
          <w:i w:val="0"/>
          <w:sz w:val="28"/>
        </w:rPr>
        <w:t>Теоретическим фундаментом современного учёта технического обслуживания служит теория надёжности технических систем, терминологическую базу которой задаёт ГОСТ 27.002-2015 «Надёжность в технике. Термины и определения». Стандарт вводит в обиход показатели, прямо вычисляемые на основании журнала заявок: среднее время безотказной работы (Mean Time Between Failures, MTBF), среднее время восстановления (Mean Time To Repair, MTTR), коэффициент готовности и коэффициент технического использования. Любая модернизация системы учёта в конечном счёте оценивается через прирост этих показателей; следовательно, информационная модель базы данных должна сохранять все исходные данные, необходимые для их вычисления — отметки времени создания, начала и закрытия заявки, признак отказа оборудования, перечень затронутых единиц и стоимость восстановления.</w:t>
      </w:r>
    </w:p>
    <w:p>
      <w:pPr>
        <w:spacing w:lineRule="auto" w:line="360" w:before="0" w:after="0"/>
        <w:ind w:firstLine="709"/>
        <w:jc w:val="both"/>
      </w:pPr>
      <w:r>
        <w:rPr>
          <w:rFonts w:ascii="Times New Roman" w:hAnsi="Times New Roman" w:cs="Times New Roman" w:eastAsia="Times New Roman"/>
          <w:b w:val="0"/>
          <w:i w:val="0"/>
          <w:sz w:val="28"/>
        </w:rPr>
        <w:t>Нормативное регулирование организации ТО в части терминологии и состава работ определено в ГОСТ 18322-2016 «Система технического обслуживания и ремонта техники. Термины и определения», который различает плановое техническое обслуживание (выполняемое в соответствии с нормативной документацией) и неплановое ТО (по результатам контроля технического состояния или по отказу), а также вводит понятия наработки, регламента, технологической карты и нормативно-технической документации. Спроектированная база данных следует этой классификации и сохраняет в карточке заявки информацию о виде обслуживания, нормативе MTTR для типа оборудования и плановой дате выполнения работ.</w:t>
      </w:r>
    </w:p>
    <w:p>
      <w:pPr>
        <w:spacing w:lineRule="auto" w:line="360" w:before="0" w:after="0"/>
        <w:ind w:firstLine="709"/>
        <w:jc w:val="both"/>
      </w:pPr>
      <w:r>
        <w:rPr>
          <w:rFonts w:ascii="Times New Roman" w:hAnsi="Times New Roman" w:cs="Times New Roman" w:eastAsia="Times New Roman"/>
          <w:b w:val="0"/>
          <w:i w:val="0"/>
          <w:sz w:val="28"/>
        </w:rPr>
        <w:t>Современная методологическая надстройка над организацией ремонтных служб — концепция Total Productive Maintenance (TPM), разработанная С. Накаджимой в Японском институте проф. обслуживания заводов (JIPM). В её основе лежит идея вовлечения операторов в простейшие операции по уходу за оборудованием, систематическая борьба с шестью большими потерями (поломки, наладки, мелкие остановки, снижение скорости, дефекты, потери при запуске) и сдвиг от реактивного ремонта к предупредительному. Информационная поддержка TPM подразумевает прозрачность всех видов потерь, а значит — единый журнал заявок с цветовой маркировкой и канбан-визуализацией потока работ, что напрямую реализовано в настоящей работе.</w:t>
      </w:r>
    </w:p>
    <w:p>
      <w:pPr>
        <w:spacing w:lineRule="auto" w:line="360" w:before="0" w:after="0"/>
        <w:ind w:firstLine="709"/>
        <w:jc w:val="both"/>
      </w:pPr>
      <w:r>
        <w:rPr>
          <w:rFonts w:ascii="Times New Roman" w:hAnsi="Times New Roman" w:cs="Times New Roman" w:eastAsia="Times New Roman"/>
          <w:b w:val="0"/>
          <w:i w:val="0"/>
          <w:sz w:val="28"/>
        </w:rPr>
        <w:t>Дополнительный импульс автоматизации учёта обслуживания придаёт парадигма Industry 4.0 — комплекс технологий Индустриального Интернета вещей (IIoT), промышленных протоколов сбора данных (OPC UA, MQTT, Modbus), машинного обучения и облачных вычислений, формирующих контур цифрового двойника предприятия. В этой парадигме система учёта заявок выступает связующим звеном между телеметрическим контуром (датчики на станках, автоматическая регистрация отклонений) и контуром человеческого решения (диспетчер, технический руководитель, исполнитель). Без структурированного электронного журнала невозможны ни алгоритмы предиктивной диагностики, ни обучение моделей прогноза отказов.</w:t>
      </w:r>
    </w:p>
    <w:p>
      <w:pPr>
        <w:spacing w:lineRule="auto" w:line="360" w:before="0" w:after="0"/>
        <w:ind w:firstLine="709"/>
        <w:jc w:val="both"/>
      </w:pPr>
      <w:r>
        <w:rPr>
          <w:rFonts w:ascii="Times New Roman" w:hAnsi="Times New Roman" w:cs="Times New Roman" w:eastAsia="Times New Roman"/>
          <w:b w:val="0"/>
          <w:i w:val="0"/>
          <w:sz w:val="28"/>
        </w:rPr>
        <w:t>Среди коммерческих решений, представленных на рынке автоматизации ТОиР, выделяются три условные категории. К первой относится семейство «1С:ТОИР» — отечественный отраслевой модуль платформы 1С:Предприятие, обеспечивающий интеграцию с бухгалтерскими и складскими подсистемами, но требующий лицензионных отчислений, услуг внедренцев и значительной адаптации. Вторая категория — крупные корпоративные EAM-системы (Enterprise Asset Management) класса IBM Maximo и SAP Plant Maintenance (PM), поддерживающие управление жизненным циклом активов, иерархические производственные структуры и многоязычные интерфейсы; их стоимость лицензий и сопровождения делает внедрение оправданным лишь на крупных промышленных предприятиях. Третья категория — открытые системы (CMMS-инструменты вроде Snipe-IT, OpenMAINT), требующие значительной кастомизации и далеко не всегда покрывающие специфику отечественной нормативной базы и кириллического интерфейса.</w:t>
      </w:r>
    </w:p>
    <w:p>
      <w:pPr>
        <w:spacing w:lineRule="auto" w:line="360" w:before="0" w:after="0"/>
        <w:ind w:firstLine="709"/>
        <w:jc w:val="both"/>
      </w:pPr>
      <w:r>
        <w:rPr>
          <w:rFonts w:ascii="Times New Roman" w:hAnsi="Times New Roman" w:cs="Times New Roman" w:eastAsia="Times New Roman"/>
          <w:b w:val="0"/>
          <w:i w:val="0"/>
          <w:sz w:val="28"/>
        </w:rPr>
        <w:t>Анализ показал, что для предприятий малого и среднего масштаба, не располагающих бюджетом крупного внедрения, целесообразна собственная разработка, ориентированная на конкретный профиль эксплуатации. Преимуществами собственного решения являются полный контроль над информационной моделью (возможность нормализации схемы под реальный документооборот), отсутствие лицензионных ограничений, прозрачность бизнес-логики и возможность поэтапного развития системы. Перечисленные обстоятельства формируют практическую и методическую востребованность темы выпускной квалификационной работы.</w:t>
      </w:r>
    </w:p>
    <w:p>
      <w:pPr>
        <w:spacing w:lineRule="auto" w:line="360" w:before="0" w:after="0"/>
        <w:ind w:firstLine="709"/>
        <w:jc w:val="both"/>
      </w:pPr>
      <w:r>
        <w:rPr>
          <w:rFonts w:ascii="Times New Roman" w:hAnsi="Times New Roman" w:cs="Times New Roman" w:eastAsia="Times New Roman"/>
          <w:b w:val="0"/>
          <w:i w:val="0"/>
          <w:sz w:val="28"/>
        </w:rPr>
        <w:t>Научная новизна работы состоит в применении комплексного подхода, сочетающего строгую нормализацию реляционной схемы до 3НФ с архитектурными шаблонами «неизменяемый аудит-журнал» и «историческая цена операции», что обеспечивает одновременно теоретическую корректность и практическую пригодность модели к промышленной эксплуатации.</w:t>
      </w:r>
    </w:p>
    <w:p>
      <w:pPr>
        <w:spacing w:lineRule="auto" w:line="360" w:before="0" w:after="0"/>
        <w:ind w:firstLine="709"/>
        <w:jc w:val="both"/>
      </w:pPr>
      <w:r>
        <w:rPr>
          <w:rFonts w:ascii="Times New Roman" w:hAnsi="Times New Roman" w:cs="Times New Roman" w:eastAsia="Times New Roman"/>
          <w:b w:val="0"/>
          <w:i w:val="0"/>
          <w:sz w:val="28"/>
        </w:rPr>
        <w:t>Структура настоящей пояснительной записки соответствует логике инженерной разработки: первый раздел посвящён проектированию реляционной базы данных, второй — программной реализации серверной части на FastAPI с обоснованием архитектурных решений, третий — клиентской части в концепции Enterprise Dashboard, четвёртый — методологии и результатам тестирования всех уровней системы. Завершают записку заключение с перечнем достигнутых результатов и направлений развития, а также список использованных источников.</w:t>
      </w:r>
    </w:p>
    <w:p>
      <w:pPr>
        <w:spacing w:lineRule="auto" w:line="360" w:before="0" w:after="0"/>
        <w:ind w:firstLine="709"/>
        <w:jc w:val="both"/>
      </w:pPr>
      <w:r>
        <w:rPr>
          <w:rFonts w:ascii="Times New Roman" w:hAnsi="Times New Roman" w:cs="Times New Roman" w:eastAsia="Times New Roman"/>
          <w:b w:val="0"/>
          <w:i w:val="0"/>
          <w:sz w:val="28"/>
        </w:rPr>
        <w:t>Решением указанных проблем является внедрение специализированной информационной системы учёта заявок на техническое обслуживание, в основе которой лежит спроектированная по правилам теории реляционных баз данных предметно-ориентированная база данных и веб-приложение для диспетчера и техников. Тема выпускной квалификационной работы — «Разработка базы данных для учёта заявок на техническое обслуживание» — является актуальной как с теоретической, так и с практической точки зрения.</w:t>
      </w:r>
    </w:p>
    <w:p>
      <w:pPr>
        <w:spacing w:lineRule="auto" w:line="360" w:before="0" w:after="0"/>
        <w:ind w:firstLine="709"/>
        <w:jc w:val="both"/>
      </w:pPr>
      <w:r>
        <w:rPr>
          <w:rFonts w:ascii="Times New Roman" w:hAnsi="Times New Roman" w:cs="Times New Roman" w:eastAsia="Times New Roman"/>
          <w:b w:val="0"/>
          <w:i w:val="0"/>
          <w:sz w:val="28"/>
        </w:rPr>
        <w:t>Объектом исследования являются бизнес-процессы технической службы предприятия: регистрация инцидента или планового ТО, назначение исполнителя, контроль выполнения работ, фиксация фактически использованных запчастей и закрытие заявки.</w:t>
      </w:r>
    </w:p>
    <w:p>
      <w:pPr>
        <w:spacing w:lineRule="auto" w:line="360" w:before="0" w:after="0"/>
        <w:ind w:firstLine="709"/>
        <w:jc w:val="both"/>
      </w:pPr>
      <w:r>
        <w:rPr>
          <w:rFonts w:ascii="Times New Roman" w:hAnsi="Times New Roman" w:cs="Times New Roman" w:eastAsia="Times New Roman"/>
          <w:b w:val="0"/>
          <w:i w:val="0"/>
          <w:sz w:val="28"/>
        </w:rPr>
        <w:t>Предметом исследования являются методы проектирования реляционных баз данных, средства реализации клиент-серверных веб-приложений на стеке Python — SQLite — HTML/CSS/JavaScript и подходы к обеспечению транзакционной целостности складских операций средствами СУБД и прикладного слоя.</w:t>
      </w:r>
    </w:p>
    <w:p>
      <w:pPr>
        <w:spacing w:lineRule="auto" w:line="360" w:before="0" w:after="0"/>
        <w:ind w:firstLine="709"/>
        <w:jc w:val="both"/>
      </w:pPr>
      <w:r>
        <w:rPr>
          <w:rFonts w:ascii="Times New Roman" w:hAnsi="Times New Roman" w:cs="Times New Roman" w:eastAsia="Times New Roman"/>
          <w:b w:val="0"/>
          <w:i w:val="0"/>
          <w:sz w:val="28"/>
        </w:rPr>
        <w:t>Цель работы — спроектировать в третьей нормальной форме базу данных учёта заявок на ТО, разработать веб-приложение диспетчера для её управления и подготовить пояснительную записку по ГОСТ КР 2.105-95.</w:t>
      </w:r>
    </w:p>
    <w:p>
      <w:pPr>
        <w:spacing w:lineRule="auto" w:line="360" w:before="0" w:after="0"/>
        <w:ind w:firstLine="709"/>
        <w:jc w:val="both"/>
      </w:pPr>
      <w:r>
        <w:rPr>
          <w:rFonts w:ascii="Times New Roman" w:hAnsi="Times New Roman" w:cs="Times New Roman" w:eastAsia="Times New Roman"/>
          <w:b w:val="0"/>
          <w:i w:val="0"/>
          <w:sz w:val="28"/>
        </w:rPr>
        <w:t>Для достижения поставленной цели в работе решаются следующие задачи:</w:t>
      </w:r>
    </w:p>
    <w:p>
      <w:pPr>
        <w:spacing w:lineRule="auto" w:line="360" w:before="0" w:after="0"/>
        <w:ind w:left="709" w:hanging="283"/>
        <w:jc w:val="both"/>
      </w:pPr>
      <w:r>
        <w:rPr>
          <w:rFonts w:ascii="Times New Roman" w:hAnsi="Times New Roman" w:cs="Times New Roman" w:eastAsia="Times New Roman"/>
          <w:b w:val="0"/>
          <w:i w:val="0"/>
          <w:sz w:val="28"/>
        </w:rPr>
        <w:t>— проведён анализ предметной области и выделены сущности, образующие ядро информационной модели службы технической поддержки;</w:t>
      </w:r>
    </w:p>
    <w:p>
      <w:pPr>
        <w:spacing w:lineRule="auto" w:line="360" w:before="0" w:after="0"/>
        <w:ind w:left="709" w:hanging="283"/>
        <w:jc w:val="both"/>
      </w:pPr>
      <w:r>
        <w:rPr>
          <w:rFonts w:ascii="Times New Roman" w:hAnsi="Times New Roman" w:cs="Times New Roman" w:eastAsia="Times New Roman"/>
          <w:b w:val="0"/>
          <w:i w:val="0"/>
          <w:sz w:val="28"/>
        </w:rPr>
        <w:t>— разработана нормализованная до 3НФ реляционная модель базы данных с обоснованием каждого шага декомпозиции;</w:t>
      </w:r>
    </w:p>
    <w:p>
      <w:pPr>
        <w:spacing w:lineRule="auto" w:line="360" w:before="0" w:after="0"/>
        <w:ind w:left="709" w:hanging="283"/>
        <w:jc w:val="both"/>
      </w:pPr>
      <w:r>
        <w:rPr>
          <w:rFonts w:ascii="Times New Roman" w:hAnsi="Times New Roman" w:cs="Times New Roman" w:eastAsia="Times New Roman"/>
          <w:b w:val="0"/>
          <w:i w:val="0"/>
          <w:sz w:val="28"/>
        </w:rPr>
        <w:t>— реализован DDL-скрипт развёртывания в SQLite с ограничениями целостности, проверками CHECK на корректность дат (closed_at &gt;= created_at), триггером автоматического аудита изменений статуса и защитой от отрицательных остатков на складе;</w:t>
      </w:r>
    </w:p>
    <w:p>
      <w:pPr>
        <w:spacing w:lineRule="auto" w:line="360" w:before="0" w:after="0"/>
        <w:ind w:left="709" w:hanging="283"/>
        <w:jc w:val="both"/>
      </w:pPr>
      <w:r>
        <w:rPr>
          <w:rFonts w:ascii="Times New Roman" w:hAnsi="Times New Roman" w:cs="Times New Roman" w:eastAsia="Times New Roman"/>
          <w:b w:val="0"/>
          <w:i w:val="0"/>
          <w:sz w:val="28"/>
        </w:rPr>
        <w:t>— разработан REST-API на языке Python (FastAPI), реализующий CRUD-операции над заявками, фильтрацию по приоритету и исполнителю, а также ключевой алгоритм закрытия заявки с атомарным списанием запчастей со склада;</w:t>
      </w:r>
    </w:p>
    <w:p>
      <w:pPr>
        <w:spacing w:lineRule="auto" w:line="360" w:before="0" w:after="0"/>
        <w:ind w:left="709" w:hanging="283"/>
        <w:jc w:val="both"/>
      </w:pPr>
      <w:r>
        <w:rPr>
          <w:rFonts w:ascii="Times New Roman" w:hAnsi="Times New Roman" w:cs="Times New Roman" w:eastAsia="Times New Roman"/>
          <w:b w:val="0"/>
          <w:i w:val="0"/>
          <w:sz w:val="28"/>
        </w:rPr>
        <w:t>— разработан адаптивный интерфейс диспетчера в концепции «Enterprise Dashboard» с боковой панелью, журналом заявок с цветовой маркировкой приоритетов и канбан-доской на технологиях HTML5, CSS3 и Vanilla JavaScript (Fetch API);</w:t>
      </w:r>
    </w:p>
    <w:p>
      <w:pPr>
        <w:spacing w:lineRule="auto" w:line="360" w:before="0" w:after="0"/>
        <w:ind w:left="709" w:hanging="283"/>
        <w:jc w:val="both"/>
      </w:pPr>
      <w:r>
        <w:rPr>
          <w:rFonts w:ascii="Times New Roman" w:hAnsi="Times New Roman" w:cs="Times New Roman" w:eastAsia="Times New Roman"/>
          <w:b w:val="0"/>
          <w:i w:val="0"/>
          <w:sz w:val="28"/>
        </w:rPr>
        <w:t>— проведено модульное и интеграционное тестирование разработанной системы.</w:t>
      </w:r>
    </w:p>
    <w:p>
      <w:pPr>
        <w:spacing w:lineRule="auto" w:line="360" w:before="0" w:after="0"/>
        <w:ind w:firstLine="709"/>
        <w:jc w:val="both"/>
      </w:pPr>
      <w:r>
        <w:rPr>
          <w:rFonts w:ascii="Times New Roman" w:hAnsi="Times New Roman" w:cs="Times New Roman" w:eastAsia="Times New Roman"/>
          <w:b w:val="0"/>
          <w:i w:val="0"/>
          <w:sz w:val="28"/>
        </w:rPr>
        <w:t>Методологической основой работы служат труды по теории реляционных баз данных Э.Ф. Кодда, К.Дж. Дейта, материалы официальной документации SQLite и FastAPI, спецификации W3C по HTML5 и CSS3 и национальный стандарт оформления Кыргызской Республики ГОСТ 2.105-95.</w:t>
      </w:r>
    </w:p>
    <w:p>
      <w:pPr>
        <w:spacing w:lineRule="auto" w:line="360" w:before="0" w:after="0"/>
        <w:ind w:firstLine="709"/>
        <w:jc w:val="both"/>
      </w:pPr>
      <w:r>
        <w:rPr>
          <w:rFonts w:ascii="Times New Roman" w:hAnsi="Times New Roman" w:cs="Times New Roman" w:eastAsia="Times New Roman"/>
          <w:b w:val="0"/>
          <w:i w:val="0"/>
          <w:sz w:val="28"/>
        </w:rPr>
        <w:t>Практическая значимость работы заключается в том, что разработанная система может быть внедрена в действующем производственном или транспортном предприятии без значительных доработок и без затрат на коммерческую СУБД, поскольку SQLite распространяется свободно и не требует выделенного сервера.</w:t>
      </w:r>
    </w:p>
    <w:p>
      <w:pPr>
        <w:spacing w:lineRule="auto" w:line="360" w:before="160" w:after="160"/>
        <w:ind w:firstLine="0"/>
        <w:jc w:val="center"/>
      </w:pPr>
      <w:r>
        <w:rPr>
          <w:rFonts w:ascii="Times New Roman" w:hAnsi="Times New Roman" w:cs="Times New Roman" w:eastAsia="Times New Roman"/>
          <w:b w:val="0"/>
          <w:i/>
          <w:color w:val="333333"/>
          <w:sz w:val="28"/>
        </w:rPr>
        <w:t>{Скриншот: Главный экран разработанного веб-приложения MaintOps — Dashboard с KPI открытых заявок, карточками критических неисправностей и блоком запчастей ниже минимума}</w:t>
      </w:r>
    </w:p>
    <w:p>
      <w:pPr>
        <w:spacing w:lineRule="auto" w:line="360" w:before="0" w:after="240"/>
        <w:ind w:firstLine="0"/>
        <w:jc w:val="center"/>
      </w:pPr>
      <w:r>
        <w:rPr>
          <w:rFonts w:ascii="Times New Roman" w:hAnsi="Times New Roman" w:cs="Times New Roman" w:eastAsia="Times New Roman"/>
          <w:b w:val="0"/>
          <w:i w:val="0"/>
          <w:sz w:val="28"/>
        </w:rPr>
        <w:t>Рисунок В.1 — Главный экран приложения «MaintOps»</w:t>
      </w:r>
    </w:p>
    <w:p>
      <w:r>
        <w:br w:type="page"/>
      </w:r>
    </w:p>
    <w:p>
      <w:pPr>
        <w:spacing w:lineRule="auto" w:line="360" w:before="0" w:after="360"/>
        <w:ind w:firstLine="0"/>
        <w:jc w:val="center"/>
      </w:pPr>
      <w:r>
        <w:rPr>
          <w:rFonts w:ascii="Times New Roman" w:hAnsi="Times New Roman" w:cs="Times New Roman" w:eastAsia="Times New Roman"/>
          <w:b/>
          <w:i w:val="0"/>
          <w:sz w:val="28"/>
        </w:rPr>
        <w:t>1. ПРОЕКТИРОВАНИЕ БАЗЫ ДАННЫХ</w:t>
      </w:r>
    </w:p>
    <w:p>
      <w:pPr>
        <w:spacing w:lineRule="auto" w:line="360" w:before="240" w:after="160"/>
        <w:ind w:firstLine="0"/>
        <w:jc w:val="left"/>
      </w:pPr>
      <w:r>
        <w:rPr>
          <w:rFonts w:ascii="Times New Roman" w:hAnsi="Times New Roman" w:cs="Times New Roman" w:eastAsia="Times New Roman"/>
          <w:b/>
          <w:i w:val="0"/>
          <w:sz w:val="28"/>
        </w:rPr>
        <w:t>1.1. Характеристика предметной области</w:t>
      </w:r>
    </w:p>
    <w:p>
      <w:pPr>
        <w:spacing w:lineRule="auto" w:line="360" w:before="0" w:after="0"/>
        <w:ind w:firstLine="709"/>
        <w:jc w:val="both"/>
      </w:pPr>
      <w:r>
        <w:rPr>
          <w:rFonts w:ascii="Times New Roman" w:hAnsi="Times New Roman" w:cs="Times New Roman" w:eastAsia="Times New Roman"/>
          <w:b w:val="0"/>
          <w:i w:val="0"/>
          <w:sz w:val="28"/>
        </w:rPr>
        <w:t>Предметная область — деятельность технической службы промышленного, транспортного или складского предприятия, эксплуатирующего десятки и сотни единиц оборудования: станков, конвейерных линий, насосов, систем вентиляции, погрузчиков. Каждая единица требует двух типов технического обслуживания: планового (по регламенту наработки или календарю) и аварийного (по факту инцидента). Оба процесса проходят через единое окно — систему учёта заявок, в которую попадают регистрация инцидента, назначение исполнителя, контроль выполнения работ, фиксация фактически использованных запчастей и закрытие заявки.</w:t>
      </w:r>
    </w:p>
    <w:p>
      <w:pPr>
        <w:spacing w:lineRule="auto" w:line="360" w:before="0" w:after="0"/>
        <w:ind w:firstLine="709"/>
        <w:jc w:val="both"/>
      </w:pPr>
      <w:r>
        <w:rPr>
          <w:rFonts w:ascii="Times New Roman" w:hAnsi="Times New Roman" w:cs="Times New Roman" w:eastAsia="Times New Roman"/>
          <w:b w:val="0"/>
          <w:i w:val="0"/>
          <w:sz w:val="28"/>
        </w:rPr>
        <w:t>Плановое техническое обслуживание организуется на основании двух базовых критериев — по календарному графику (например, квартальное обслуживание систем вентиляции независимо от интенсивности эксплуатации) и по наработке (например, замена масла в станочной системе после каждых 500 машино-часов). Эти два критерия порождают принципиально разные сценарии планирования: календарные работы поддаются долгосрочному расписанию и стабильной загрузке ремонтной бригады, тогда как обслуживание по наработке зависит от телеметрических показаний и периодически приводит к пиковым нагрузкам. Аварийное (неплановое) ТО, в свою очередь, всегда возникает внезапно и требует от диспетчера оперативной реакции, перераспределения исполнителей и приоритизации.</w:t>
      </w:r>
    </w:p>
    <w:p>
      <w:pPr>
        <w:spacing w:lineRule="auto" w:line="360" w:before="0" w:after="0"/>
        <w:ind w:firstLine="709"/>
        <w:jc w:val="both"/>
      </w:pPr>
      <w:r>
        <w:rPr>
          <w:rFonts w:ascii="Times New Roman" w:hAnsi="Times New Roman" w:cs="Times New Roman" w:eastAsia="Times New Roman"/>
          <w:b w:val="0"/>
          <w:i w:val="0"/>
          <w:sz w:val="28"/>
        </w:rPr>
        <w:t>Классификация неисправностей в дальнейших разделах учитывается через справочник priorities, который одновременно отражает и срочность реагирования, и нормативный срок устранения (SLA, Service Level Agreement). Автором приняты четыре уровня: критический (полная остановка ключевого узла, SLA до 2 часов), высокий (частичная утрата производительности, SLA до 8 часов), средний (несоответствие нормативу без потери выпуска, SLA до 24 часов), низкий (плановое или косметическое обслуживание, SLA до 72 часов). Цветовое кодирование и нормативы хранятся непосредственно в справочнике, что позволяет менять политику SLA без изменения программного кода.</w:t>
      </w:r>
    </w:p>
    <w:p>
      <w:pPr>
        <w:spacing w:lineRule="auto" w:line="360" w:before="0" w:after="0"/>
        <w:ind w:firstLine="709"/>
        <w:jc w:val="both"/>
      </w:pPr>
      <w:r>
        <w:rPr>
          <w:rFonts w:ascii="Times New Roman" w:hAnsi="Times New Roman" w:cs="Times New Roman" w:eastAsia="Times New Roman"/>
          <w:b w:val="0"/>
          <w:i w:val="0"/>
          <w:sz w:val="28"/>
        </w:rPr>
        <w:t>Помимо приоритизации, в реальной эксплуатации требуется различать виды отказов: внезапные (выход из строя без предварительных признаков), постепенные (накопление износа), перемежающиеся (повторяющиеся короткие отказы) и конструктивно-производственные (заводской брак). В разработанной системе эта классификация косвенно поддерживается полем description заявки и комментарием мастера completion_note, позволяющим формировать статистическую базу для последующего анализа причин отказов методом Парето и построения диаграмм Исикавы.</w:t>
      </w:r>
    </w:p>
    <w:p>
      <w:pPr>
        <w:spacing w:lineRule="auto" w:line="360" w:before="0" w:after="0"/>
        <w:ind w:firstLine="709"/>
        <w:jc w:val="both"/>
      </w:pPr>
      <w:r>
        <w:rPr>
          <w:rFonts w:ascii="Times New Roman" w:hAnsi="Times New Roman" w:cs="Times New Roman" w:eastAsia="Times New Roman"/>
          <w:b w:val="0"/>
          <w:i w:val="0"/>
          <w:sz w:val="28"/>
        </w:rPr>
        <w:t>В предметной области автором выделяются одиннадцать сущностей, представленных в таблице 1.1.</w:t>
      </w:r>
    </w:p>
    <w:tbl>
      <w:tblPr>
        <w:tblStyle w:val="TableGrid"/>
        <w:tblW w:type="auto" w:w="0"/>
        <w:jc w:val="center"/>
        <w:tblLook w:firstColumn="1" w:firstRow="1" w:lastColumn="0" w:lastRow="0" w:noHBand="0" w:noVBand="1" w:val="04A0"/>
      </w:tblPr>
      <w:tblGrid>
        <w:gridCol w:w="3324"/>
        <w:gridCol w:w="3324"/>
        <w:gridCol w:w="3324"/>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2551"/>
            <w:vAlign w:val="center"/>
          </w:tcPr>
          <w:p>
            <w:pPr>
              <w:spacing w:lineRule="auto" w:line="276" w:before="0" w:after="0"/>
              <w:ind w:firstLine="0"/>
              <w:jc w:val="center"/>
            </w:pPr>
            <w:r/>
            <w:r>
              <w:rPr>
                <w:rFonts w:ascii="Times New Roman" w:hAnsi="Times New Roman" w:cs="Times New Roman" w:eastAsia="Times New Roman"/>
                <w:b/>
                <w:i w:val="0"/>
                <w:sz w:val="28"/>
              </w:rPr>
              <w:t>Сущность</w:t>
            </w:r>
          </w:p>
        </w:tc>
        <w:tc>
          <w:tcPr>
            <w:tcW w:type="dxa" w:w="5953"/>
            <w:vAlign w:val="center"/>
          </w:tcPr>
          <w:p>
            <w:pPr>
              <w:spacing w:lineRule="auto" w:line="276" w:before="0" w:after="0"/>
              <w:ind w:firstLine="0"/>
              <w:jc w:val="center"/>
            </w:pPr>
            <w:r/>
            <w:r>
              <w:rPr>
                <w:rFonts w:ascii="Times New Roman" w:hAnsi="Times New Roman" w:cs="Times New Roman" w:eastAsia="Times New Roman"/>
                <w:b/>
                <w:i w:val="0"/>
                <w:sz w:val="28"/>
              </w:rPr>
              <w:t>Назначение</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equipment</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Единицы оборудования предприятия</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2</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equipment_types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Типы / категории оборудования</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3</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staff</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Сотрудники (диспетчеры, инженеры, техники)</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maintenance_requests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Заявки на техническое обслуживание</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request_statuses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Справочник статусов обработки заявок</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spare_parts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Склад запчастей с остатками</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7</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request_parts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Списание деталей под заявку (M:N)</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8</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staff_roles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Справочник ролей сотрудников</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9</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priorities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Приоритеты с SLA и цветовой кодировкой</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10</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locations</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Места установки оборудования</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11</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request_status_history</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Аудит-журнал смен статусов заявок</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1.1 — Состав отношений базы данных</w:t>
      </w:r>
    </w:p>
    <w:p>
      <w:pPr>
        <w:spacing w:lineRule="auto" w:line="360" w:before="240" w:after="160"/>
        <w:ind w:firstLine="0"/>
        <w:jc w:val="left"/>
      </w:pPr>
      <w:r>
        <w:rPr>
          <w:rFonts w:ascii="Times New Roman" w:hAnsi="Times New Roman" w:cs="Times New Roman" w:eastAsia="Times New Roman"/>
          <w:b/>
          <w:i w:val="0"/>
          <w:sz w:val="28"/>
        </w:rPr>
        <w:t>1.2. Цели и задачи раздела</w:t>
      </w:r>
    </w:p>
    <w:p>
      <w:pPr>
        <w:spacing w:lineRule="auto" w:line="360" w:before="0" w:after="0"/>
        <w:ind w:firstLine="709"/>
        <w:jc w:val="both"/>
      </w:pPr>
      <w:r>
        <w:rPr>
          <w:rFonts w:ascii="Times New Roman" w:hAnsi="Times New Roman" w:cs="Times New Roman" w:eastAsia="Times New Roman"/>
          <w:b w:val="0"/>
          <w:i w:val="0"/>
          <w:sz w:val="28"/>
        </w:rPr>
        <w:t>Целью настоящего раздела является получение нормализованной до третьей нормальной формы схемы реляционной базы данных, готовой к развёртыванию в СУБД SQLite. Для этого решаются следующие задачи: формирование ненормализованного представления заявки, последовательное приведение к 1НФ, 2НФ и 3НФ с обоснованием каждого шага декомпозиции, а также формирование DDL-скрипта с ограничениями целостности и триггерами бизнес-логики.</w:t>
      </w:r>
    </w:p>
    <w:p>
      <w:pPr>
        <w:spacing w:lineRule="auto" w:line="360" w:before="240" w:after="160"/>
        <w:ind w:firstLine="0"/>
        <w:jc w:val="left"/>
      </w:pPr>
      <w:r>
        <w:rPr>
          <w:rFonts w:ascii="Times New Roman" w:hAnsi="Times New Roman" w:cs="Times New Roman" w:eastAsia="Times New Roman"/>
          <w:b/>
          <w:i w:val="0"/>
          <w:sz w:val="28"/>
        </w:rPr>
        <w:t>1.3. Приведение к первой нормальной форме (1НФ)</w:t>
      </w:r>
    </w:p>
    <w:p>
      <w:pPr>
        <w:spacing w:lineRule="auto" w:line="360" w:before="0" w:after="0"/>
        <w:ind w:firstLine="709"/>
        <w:jc w:val="both"/>
      </w:pPr>
      <w:r>
        <w:rPr>
          <w:rFonts w:ascii="Times New Roman" w:hAnsi="Times New Roman" w:cs="Times New Roman" w:eastAsia="Times New Roman"/>
          <w:b w:val="0"/>
          <w:i w:val="0"/>
          <w:sz w:val="28"/>
        </w:rPr>
        <w:t>Согласно общепринятому определению, отношение находится в первой нормальной форме, если все его атрибуты принимают только атомарные (неделимые) значения, повторяющиеся группы вынесены в отдельные кортежи, а для каждой строки определён первичный ключ. Автором рассмотрено ненормализованное «плоское» представление журнала заявок, типичное для бумажного учёта.</w:t>
      </w:r>
    </w:p>
    <w:p>
      <w:pPr>
        <w:spacing w:lineRule="auto" w:line="276" w:before="80" w:after="160"/>
        <w:ind w:firstLine="0"/>
        <w:jc w:val="left"/>
      </w:pPr>
      <w:r>
        <w:rPr>
          <w:rFonts w:ascii="Courier New" w:hAnsi="Courier New" w:cs="Courier New"/>
          <w:sz w:val="22"/>
        </w:rPr>
        <w:t>requests_flat (</w:t>
        <w:br/>
        <w:t xml:space="preserve">    request_id,</w:t>
        <w:br/>
        <w:t xml:space="preserve">    equipment_inv_number, equipment_name,</w:t>
        <w:br/>
        <w:t xml:space="preserve">    equipment_type_name, equipment_type_normative_mttr_hours,</w:t>
        <w:br/>
        <w:t xml:space="preserve">    location_name, location_building,</w:t>
        <w:br/>
        <w:t xml:space="preserve">    technician_fio, technician_phones,</w:t>
        <w:br/>
        <w:t xml:space="preserve">    technician_role_name,</w:t>
        <w:br/>
        <w:t xml:space="preserve">    priority_name, priority_color, priority_sla_hours,</w:t>
        <w:br/>
        <w:t xml:space="preserve">    status_name, status_color,</w:t>
        <w:br/>
        <w:t xml:space="preserve">    description, planned_date,</w:t>
        <w:br/>
        <w:t xml:space="preserve">    used_parts,                      -- 'Подшипник × 2, Ремень × 1'</w:t>
        <w:br/>
        <w:t xml:space="preserve">    created_at, closed_at, created_by_fio</w:t>
        <w:br/>
        <w:t>)</w:t>
      </w:r>
    </w:p>
    <w:p>
      <w:pPr>
        <w:spacing w:lineRule="auto" w:line="360" w:before="0" w:after="0"/>
        <w:ind w:firstLine="709"/>
        <w:jc w:val="both"/>
      </w:pPr>
      <w:r>
        <w:rPr>
          <w:rFonts w:ascii="Times New Roman" w:hAnsi="Times New Roman" w:cs="Times New Roman" w:eastAsia="Times New Roman"/>
          <w:b w:val="0"/>
          <w:i w:val="0"/>
          <w:sz w:val="28"/>
        </w:rPr>
        <w:t>В этой структуре выявлены три нарушения первой нормальной формы. Во-первых, поле technician_phones хранит список телефонов через запятую — нарушение атомарности. Во-вторых, поле used_parts хранит набор запчастей с количествами — типичная повторяющаяся группа. В-третьих, отсутствует явный первичный ключ. Автором проведены следующие преобразования: введён суррогатный ключ id во всех таблицах; для основного контакта сотрудника оставлено одно поле phone; для связи «заявка — запчасти с количеством» выделено самостоятельное связующее отношение request_parts (request_id, part_id, quantity_used, unit_price_at_use). После применения преобразований все отношения удовлетворяют 1НФ.</w:t>
      </w:r>
    </w:p>
    <w:p>
      <w:pPr>
        <w:spacing w:lineRule="auto" w:line="360" w:before="240" w:after="160"/>
        <w:ind w:firstLine="0"/>
        <w:jc w:val="left"/>
      </w:pPr>
      <w:r>
        <w:rPr>
          <w:rFonts w:ascii="Times New Roman" w:hAnsi="Times New Roman" w:cs="Times New Roman" w:eastAsia="Times New Roman"/>
          <w:b/>
          <w:i w:val="0"/>
          <w:sz w:val="28"/>
        </w:rPr>
        <w:t>1.4. Приведение ко второй нормальной форме (2НФ)</w:t>
      </w:r>
    </w:p>
    <w:p>
      <w:pPr>
        <w:spacing w:lineRule="auto" w:line="360" w:before="0" w:after="0"/>
        <w:ind w:firstLine="709"/>
        <w:jc w:val="both"/>
      </w:pPr>
      <w:r>
        <w:rPr>
          <w:rFonts w:ascii="Times New Roman" w:hAnsi="Times New Roman" w:cs="Times New Roman" w:eastAsia="Times New Roman"/>
          <w:b w:val="0"/>
          <w:i w:val="0"/>
          <w:sz w:val="28"/>
        </w:rPr>
        <w:t>Отношение находится во второй нормальной форме, если оно находится в 1НФ и не содержит частичных функциональных зависимостей неключевых атрибутов от части составного первичного ключа. Все основные отношения (equipment, staff, maintenance_requests, spare_parts) спроектированы с однополевым суррогатным ключом id, поэтому частичные зависимости в принципе невозможны: нет составного ключа — нет и его части.</w:t>
      </w:r>
    </w:p>
    <w:p>
      <w:pPr>
        <w:spacing w:lineRule="auto" w:line="360" w:before="0" w:after="0"/>
        <w:ind w:firstLine="709"/>
        <w:jc w:val="both"/>
      </w:pPr>
      <w:r>
        <w:rPr>
          <w:rFonts w:ascii="Times New Roman" w:hAnsi="Times New Roman" w:cs="Times New Roman" w:eastAsia="Times New Roman"/>
          <w:b w:val="0"/>
          <w:i w:val="0"/>
          <w:sz w:val="28"/>
        </w:rPr>
        <w:t>Особого внимания требует связующее отношение request_parts с естественным составным ключом (request_id, part_id). Помимо ключевых атрибутов, отношение содержит quantity_used (количество списанных деталей) и unit_price_at_use (цена детали на момент списания). Оба атрибута зависят от полной пары ключей: для одной запчасти в разных заявках значения отличаются, для одной заявки и разных запчастей тоже. Частичных зависимостей нет, отношение находится в 2НФ.</w:t>
      </w:r>
    </w:p>
    <w:p>
      <w:pPr>
        <w:spacing w:lineRule="auto" w:line="360" w:before="0" w:after="0"/>
        <w:ind w:firstLine="709"/>
        <w:jc w:val="both"/>
      </w:pPr>
      <w:r>
        <w:rPr>
          <w:rFonts w:ascii="Times New Roman" w:hAnsi="Times New Roman" w:cs="Times New Roman" w:eastAsia="Times New Roman"/>
          <w:b w:val="0"/>
          <w:i w:val="0"/>
          <w:sz w:val="28"/>
        </w:rPr>
        <w:t>Уникальность естественных бизнес-ключей обеспечивается ограничениями UNIQUE уровня СУБД:</w:t>
      </w:r>
    </w:p>
    <w:p>
      <w:pPr>
        <w:spacing w:lineRule="auto" w:line="360" w:before="0" w:after="0"/>
        <w:ind w:left="709" w:hanging="283"/>
        <w:jc w:val="both"/>
      </w:pPr>
      <w:r>
        <w:rPr>
          <w:rFonts w:ascii="Times New Roman" w:hAnsi="Times New Roman" w:cs="Times New Roman" w:eastAsia="Times New Roman"/>
          <w:b w:val="0"/>
          <w:i w:val="0"/>
          <w:sz w:val="28"/>
        </w:rPr>
        <w:t>— equipment.inventory_number — у каждой единицы оборудования свой инвентарный номер;</w:t>
      </w:r>
    </w:p>
    <w:p>
      <w:pPr>
        <w:spacing w:lineRule="auto" w:line="360" w:before="0" w:after="0"/>
        <w:ind w:left="709" w:hanging="283"/>
        <w:jc w:val="both"/>
      </w:pPr>
      <w:r>
        <w:rPr>
          <w:rFonts w:ascii="Times New Roman" w:hAnsi="Times New Roman" w:cs="Times New Roman" w:eastAsia="Times New Roman"/>
          <w:b w:val="0"/>
          <w:i w:val="0"/>
          <w:sz w:val="28"/>
        </w:rPr>
        <w:t>— spare_parts.sku — артикул запчасти;</w:t>
      </w:r>
    </w:p>
    <w:p>
      <w:pPr>
        <w:spacing w:lineRule="auto" w:line="360" w:before="0" w:after="0"/>
        <w:ind w:left="709" w:hanging="283"/>
        <w:jc w:val="both"/>
      </w:pPr>
      <w:r>
        <w:rPr>
          <w:rFonts w:ascii="Times New Roman" w:hAnsi="Times New Roman" w:cs="Times New Roman" w:eastAsia="Times New Roman"/>
          <w:b w:val="0"/>
          <w:i w:val="0"/>
          <w:sz w:val="28"/>
        </w:rPr>
        <w:t>— priorities.code, request_statuses.code, staff_roles.code — справочные коды;</w:t>
      </w:r>
    </w:p>
    <w:p>
      <w:pPr>
        <w:spacing w:lineRule="auto" w:line="360" w:before="0" w:after="0"/>
        <w:ind w:left="709" w:hanging="283"/>
        <w:jc w:val="both"/>
      </w:pPr>
      <w:r>
        <w:rPr>
          <w:rFonts w:ascii="Times New Roman" w:hAnsi="Times New Roman" w:cs="Times New Roman" w:eastAsia="Times New Roman"/>
          <w:b w:val="0"/>
          <w:i w:val="0"/>
          <w:sz w:val="28"/>
        </w:rPr>
        <w:t>— staff.login и staff.email — учётные данные сотрудника;</w:t>
      </w:r>
    </w:p>
    <w:p>
      <w:pPr>
        <w:spacing w:lineRule="auto" w:line="360" w:before="0" w:after="0"/>
        <w:ind w:left="709" w:hanging="283"/>
        <w:jc w:val="both"/>
      </w:pPr>
      <w:r>
        <w:rPr>
          <w:rFonts w:ascii="Times New Roman" w:hAnsi="Times New Roman" w:cs="Times New Roman" w:eastAsia="Times New Roman"/>
          <w:b w:val="0"/>
          <w:i w:val="0"/>
          <w:sz w:val="28"/>
        </w:rPr>
        <w:t>— request_parts (request_id, part_id) — составной первичный ключ блокирует повторное списание одной запчасти в одну заявку.</w:t>
      </w:r>
    </w:p>
    <w:p>
      <w:pPr>
        <w:spacing w:lineRule="auto" w:line="360" w:before="240" w:after="160"/>
        <w:ind w:firstLine="0"/>
        <w:jc w:val="left"/>
      </w:pPr>
      <w:r>
        <w:rPr>
          <w:rFonts w:ascii="Times New Roman" w:hAnsi="Times New Roman" w:cs="Times New Roman" w:eastAsia="Times New Roman"/>
          <w:b/>
          <w:i w:val="0"/>
          <w:sz w:val="28"/>
        </w:rPr>
        <w:t>1.5. Приведение к третьей нормальной форме (3НФ)</w:t>
      </w:r>
    </w:p>
    <w:p>
      <w:pPr>
        <w:spacing w:lineRule="auto" w:line="360" w:before="0" w:after="0"/>
        <w:ind w:firstLine="709"/>
        <w:jc w:val="both"/>
      </w:pPr>
      <w:r>
        <w:rPr>
          <w:rFonts w:ascii="Times New Roman" w:hAnsi="Times New Roman" w:cs="Times New Roman" w:eastAsia="Times New Roman"/>
          <w:b w:val="0"/>
          <w:i w:val="0"/>
          <w:sz w:val="28"/>
        </w:rPr>
        <w:t>Отношение находится в третьей нормальной форме, если оно в 2НФ и не содержит транзитивных функциональных зависимостей неключевых атрибутов от первичного ключа. В исходной плоской структуре автором выявлены шесть групп транзитивных зависимостей:</w:t>
      </w:r>
    </w:p>
    <w:tbl>
      <w:tblPr>
        <w:tblStyle w:val="TableGrid"/>
        <w:tblW w:type="auto" w:w="0"/>
        <w:jc w:val="center"/>
        <w:tblLook w:firstColumn="1" w:firstRow="1" w:lastColumn="0" w:lastRow="0" w:noHBand="0" w:noVBand="1" w:val="04A0"/>
      </w:tblPr>
      <w:tblGrid>
        <w:gridCol w:w="3324"/>
        <w:gridCol w:w="3324"/>
        <w:gridCol w:w="3324"/>
      </w:tblGrid>
      <w:tr>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Источник</w:t>
            </w:r>
          </w:p>
        </w:tc>
        <w:tc>
          <w:tcPr>
            <w:tcW w:type="dxa" w:w="3402"/>
            <w:vAlign w:val="center"/>
          </w:tcPr>
          <w:p>
            <w:pPr>
              <w:spacing w:lineRule="auto" w:line="276" w:before="0" w:after="0"/>
              <w:ind w:firstLine="0"/>
              <w:jc w:val="center"/>
            </w:pPr>
            <w:r/>
            <w:r>
              <w:rPr>
                <w:rFonts w:ascii="Times New Roman" w:hAnsi="Times New Roman" w:cs="Times New Roman" w:eastAsia="Times New Roman"/>
                <w:b/>
                <w:i w:val="0"/>
                <w:sz w:val="28"/>
              </w:rPr>
              <w:t>Зависимый атрибут</w:t>
            </w:r>
          </w:p>
        </w:tc>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Транзит через</w:t>
            </w:r>
          </w:p>
        </w:tc>
      </w:tr>
      <w:tr>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request_id</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equipment_type_normative_mttr_hours</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equipment_type_name</w:t>
            </w:r>
          </w:p>
        </w:tc>
      </w:tr>
      <w:tr>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request_id</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location_building</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location_name</w:t>
            </w:r>
          </w:p>
        </w:tc>
      </w:tr>
      <w:tr>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request_id</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technician_role_name</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technician_fio</w:t>
            </w:r>
          </w:p>
        </w:tc>
      </w:tr>
      <w:tr>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request_id</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priority_color, priority_sla_hours</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priority_name</w:t>
            </w:r>
          </w:p>
        </w:tc>
      </w:tr>
      <w:tr>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request_id</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status_color</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status_name</w:t>
            </w:r>
          </w:p>
        </w:tc>
      </w:tr>
      <w:tr>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staff.id</w:t>
            </w:r>
          </w:p>
        </w:tc>
        <w:tc>
          <w:tcPr>
            <w:tcW w:type="dxa" w:w="3402"/>
            <w:vAlign w:val="center"/>
          </w:tcPr>
          <w:p>
            <w:pPr>
              <w:spacing w:lineRule="auto" w:line="276" w:before="0" w:after="0"/>
              <w:ind w:firstLine="0"/>
              <w:jc w:val="left"/>
            </w:pPr>
            <w:r/>
            <w:r>
              <w:rPr>
                <w:rFonts w:ascii="Times New Roman" w:hAnsi="Times New Roman" w:cs="Times New Roman" w:eastAsia="Times New Roman"/>
                <w:b w:val="0"/>
                <w:i w:val="0"/>
                <w:sz w:val="28"/>
              </w:rPr>
              <w:t>role_name</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role_code</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1.2 — Транзитивные зависимости</w:t>
      </w:r>
    </w:p>
    <w:p>
      <w:pPr>
        <w:spacing w:lineRule="auto" w:line="360" w:before="0" w:after="0"/>
        <w:ind w:firstLine="709"/>
        <w:jc w:val="both"/>
      </w:pPr>
      <w:r>
        <w:rPr>
          <w:rFonts w:ascii="Times New Roman" w:hAnsi="Times New Roman" w:cs="Times New Roman" w:eastAsia="Times New Roman"/>
          <w:b w:val="0"/>
          <w:i w:val="0"/>
          <w:sz w:val="28"/>
        </w:rPr>
        <w:t>Декомпозиция проведена путём выделения отдельных справочников. Характеристики типа оборудования (норматив MTTR, описание) хранятся только в equipment_types; адрес и корпус — только в locations; цвет приоритета и SLA-норматив в часах — только в priorities; цвет статуса — только в request_statuses; название роли — только в staff_roles; ФИО, телефон, email сотрудника — только в staff. В оперативных отношениях (maintenance_requests, request_parts, request_status_history) хранятся исключительно внешние ключи на справочники и собственные атрибуты сущности.</w:t>
      </w:r>
    </w:p>
    <w:p>
      <w:pPr>
        <w:spacing w:lineRule="auto" w:line="360" w:before="0" w:after="0"/>
        <w:ind w:firstLine="709"/>
        <w:jc w:val="both"/>
      </w:pPr>
      <w:r>
        <w:rPr>
          <w:rFonts w:ascii="Times New Roman" w:hAnsi="Times New Roman" w:cs="Times New Roman" w:eastAsia="Times New Roman"/>
          <w:b w:val="0"/>
          <w:i w:val="0"/>
          <w:sz w:val="28"/>
        </w:rPr>
        <w:t>Финансово-учётный аспект спроектирован с принципиальным разделением двух типов цен: текущей цены запчасти spare_parts.unit_price (отражает рыночную стоимость на сегодня) и исторической цены request_parts.unit_price_at_use (фиксируется в момент списания). Это техническое разделение сохраняет историческую достоверность отчётов по стоимости закрытых заявок при произвольном изменении прейскуранта в будущем.</w:t>
      </w:r>
    </w:p>
    <w:p>
      <w:pPr>
        <w:spacing w:lineRule="auto" w:line="360" w:before="240" w:after="160"/>
        <w:ind w:firstLine="0"/>
        <w:jc w:val="left"/>
      </w:pPr>
      <w:r>
        <w:rPr>
          <w:rFonts w:ascii="Times New Roman" w:hAnsi="Times New Roman" w:cs="Times New Roman" w:eastAsia="Times New Roman"/>
          <w:b/>
          <w:i w:val="0"/>
          <w:sz w:val="28"/>
        </w:rPr>
        <w:t>1.6. Логическая схема базы данных</w:t>
      </w:r>
    </w:p>
    <w:p>
      <w:pPr>
        <w:spacing w:lineRule="auto" w:line="360" w:before="0" w:after="0"/>
        <w:ind w:firstLine="709"/>
        <w:jc w:val="both"/>
      </w:pPr>
      <w:r>
        <w:rPr>
          <w:rFonts w:ascii="Times New Roman" w:hAnsi="Times New Roman" w:cs="Times New Roman" w:eastAsia="Times New Roman"/>
          <w:b w:val="0"/>
          <w:i w:val="0"/>
          <w:sz w:val="28"/>
        </w:rPr>
        <w:t>Финальная нормализованная модель содержит одиннадцать отношений. Связи реализуются ограничениями FOREIGN KEY со стратегиями ON DELETE RESTRICT для справочников и ON DELETE CASCADE для журнала истории (удаление заявки каскадом удаляет связанную историю статусов).</w:t>
      </w:r>
    </w:p>
    <w:p>
      <w:pPr>
        <w:spacing w:lineRule="auto" w:line="360" w:before="160" w:after="160"/>
        <w:ind w:firstLine="0"/>
        <w:jc w:val="center"/>
      </w:pPr>
      <w:r>
        <w:rPr>
          <w:rFonts w:ascii="Times New Roman" w:hAnsi="Times New Roman" w:cs="Times New Roman" w:eastAsia="Times New Roman"/>
          <w:b w:val="0"/>
          <w:i/>
          <w:color w:val="333333"/>
          <w:sz w:val="28"/>
        </w:rPr>
        <w:t>{Скриншот: ER-диаграмма базы данных учёта заявок на ТО в 3НФ, построенная в DBeaver, с одиннадцатью таблицами и связями}</w:t>
      </w:r>
    </w:p>
    <w:p>
      <w:pPr>
        <w:spacing w:lineRule="auto" w:line="360" w:before="0" w:after="240"/>
        <w:ind w:firstLine="0"/>
        <w:jc w:val="center"/>
      </w:pPr>
      <w:r>
        <w:rPr>
          <w:rFonts w:ascii="Times New Roman" w:hAnsi="Times New Roman" w:cs="Times New Roman" w:eastAsia="Times New Roman"/>
          <w:b w:val="0"/>
          <w:i w:val="0"/>
          <w:sz w:val="28"/>
        </w:rPr>
        <w:t>Рисунок 1.1 — Логическая схема базы данных в 3НФ</w:t>
      </w:r>
    </w:p>
    <w:p>
      <w:pPr>
        <w:spacing w:lineRule="auto" w:line="360" w:before="0" w:after="0"/>
        <w:ind w:firstLine="709"/>
        <w:jc w:val="both"/>
      </w:pPr>
      <w:r>
        <w:rPr>
          <w:rFonts w:ascii="Times New Roman" w:hAnsi="Times New Roman" w:cs="Times New Roman" w:eastAsia="Times New Roman"/>
          <w:b w:val="0"/>
          <w:i w:val="0"/>
          <w:sz w:val="28"/>
        </w:rPr>
        <w:t>Ключевые функциональные зависимости между отношениями:</w:t>
      </w:r>
    </w:p>
    <w:p>
      <w:pPr>
        <w:spacing w:lineRule="auto" w:line="360" w:before="0" w:after="0"/>
        <w:ind w:left="709" w:hanging="283"/>
        <w:jc w:val="both"/>
      </w:pPr>
      <w:r>
        <w:rPr>
          <w:rFonts w:ascii="Times New Roman" w:hAnsi="Times New Roman" w:cs="Times New Roman" w:eastAsia="Times New Roman"/>
          <w:b w:val="0"/>
          <w:i w:val="0"/>
          <w:sz w:val="28"/>
        </w:rPr>
        <w:t>— staff_roles 1 → * staff;</w:t>
      </w:r>
    </w:p>
    <w:p>
      <w:pPr>
        <w:spacing w:lineRule="auto" w:line="360" w:before="0" w:after="0"/>
        <w:ind w:left="709" w:hanging="283"/>
        <w:jc w:val="both"/>
      </w:pPr>
      <w:r>
        <w:rPr>
          <w:rFonts w:ascii="Times New Roman" w:hAnsi="Times New Roman" w:cs="Times New Roman" w:eastAsia="Times New Roman"/>
          <w:b w:val="0"/>
          <w:i w:val="0"/>
          <w:sz w:val="28"/>
        </w:rPr>
        <w:t>— locations 1 → * equipment; equipment_types 1 → * equipment;</w:t>
      </w:r>
    </w:p>
    <w:p>
      <w:pPr>
        <w:spacing w:lineRule="auto" w:line="360" w:before="0" w:after="0"/>
        <w:ind w:left="709" w:hanging="283"/>
        <w:jc w:val="both"/>
      </w:pPr>
      <w:r>
        <w:rPr>
          <w:rFonts w:ascii="Times New Roman" w:hAnsi="Times New Roman" w:cs="Times New Roman" w:eastAsia="Times New Roman"/>
          <w:b w:val="0"/>
          <w:i w:val="0"/>
          <w:sz w:val="28"/>
        </w:rPr>
        <w:t>— equipment 1 → * maintenance_requests;</w:t>
      </w:r>
    </w:p>
    <w:p>
      <w:pPr>
        <w:spacing w:lineRule="auto" w:line="360" w:before="0" w:after="0"/>
        <w:ind w:left="709" w:hanging="283"/>
        <w:jc w:val="both"/>
      </w:pPr>
      <w:r>
        <w:rPr>
          <w:rFonts w:ascii="Times New Roman" w:hAnsi="Times New Roman" w:cs="Times New Roman" w:eastAsia="Times New Roman"/>
          <w:b w:val="0"/>
          <w:i w:val="0"/>
          <w:sz w:val="28"/>
        </w:rPr>
        <w:t>— priorities 1 → * maintenance_requests; request_statuses 1 → * maintenance_requests;</w:t>
      </w:r>
    </w:p>
    <w:p>
      <w:pPr>
        <w:spacing w:lineRule="auto" w:line="360" w:before="0" w:after="0"/>
        <w:ind w:left="709" w:hanging="283"/>
        <w:jc w:val="both"/>
      </w:pPr>
      <w:r>
        <w:rPr>
          <w:rFonts w:ascii="Times New Roman" w:hAnsi="Times New Roman" w:cs="Times New Roman" w:eastAsia="Times New Roman"/>
          <w:b w:val="0"/>
          <w:i w:val="0"/>
          <w:sz w:val="28"/>
        </w:rPr>
        <w:t>— staff 1 → * maintenance_requests (как создатель и как исполнитель);</w:t>
      </w:r>
    </w:p>
    <w:p>
      <w:pPr>
        <w:spacing w:lineRule="auto" w:line="360" w:before="0" w:after="0"/>
        <w:ind w:left="709" w:hanging="283"/>
        <w:jc w:val="both"/>
      </w:pPr>
      <w:r>
        <w:rPr>
          <w:rFonts w:ascii="Times New Roman" w:hAnsi="Times New Roman" w:cs="Times New Roman" w:eastAsia="Times New Roman"/>
          <w:b w:val="0"/>
          <w:i w:val="0"/>
          <w:sz w:val="28"/>
        </w:rPr>
        <w:t>— maintenance_requests 1 → * request_parts * ← 1 spare_parts (связь M:N через связующую таблицу);</w:t>
      </w:r>
    </w:p>
    <w:p>
      <w:pPr>
        <w:spacing w:lineRule="auto" w:line="360" w:before="0" w:after="0"/>
        <w:ind w:left="709" w:hanging="283"/>
        <w:jc w:val="both"/>
      </w:pPr>
      <w:r>
        <w:rPr>
          <w:rFonts w:ascii="Times New Roman" w:hAnsi="Times New Roman" w:cs="Times New Roman" w:eastAsia="Times New Roman"/>
          <w:b w:val="0"/>
          <w:i w:val="0"/>
          <w:sz w:val="28"/>
        </w:rPr>
        <w:t>— maintenance_requests 1 → * request_status_history.</w:t>
      </w:r>
    </w:p>
    <w:p>
      <w:pPr>
        <w:spacing w:lineRule="auto" w:line="360" w:before="240" w:after="160"/>
        <w:ind w:firstLine="0"/>
        <w:jc w:val="left"/>
      </w:pPr>
      <w:r>
        <w:rPr>
          <w:rFonts w:ascii="Times New Roman" w:hAnsi="Times New Roman" w:cs="Times New Roman" w:eastAsia="Times New Roman"/>
          <w:b/>
          <w:i w:val="0"/>
          <w:sz w:val="28"/>
        </w:rPr>
        <w:t>1.7. Реализация в SQLite (DDL-скрипт)</w:t>
      </w:r>
    </w:p>
    <w:p>
      <w:pPr>
        <w:spacing w:lineRule="auto" w:line="360" w:before="0" w:after="0"/>
        <w:ind w:firstLine="709"/>
        <w:jc w:val="both"/>
      </w:pPr>
      <w:r>
        <w:rPr>
          <w:rFonts w:ascii="Times New Roman" w:hAnsi="Times New Roman" w:cs="Times New Roman" w:eastAsia="Times New Roman"/>
          <w:b w:val="0"/>
          <w:i w:val="0"/>
          <w:sz w:val="28"/>
        </w:rPr>
        <w:t>DDL-скрипт развёртывания базы данных написан под СУБД SQLite версии 3.35 и выше. Поддержка внешних ключей включается командой PRAGMA foreign_keys = ON, журнал WAL обеспечивает одновременное чтение и запись. Скрипт содержит создание одиннадцати таблиц, вспомогательных индексов и двух триггеров бизнес-логики.</w:t>
      </w:r>
    </w:p>
    <w:p>
      <w:pPr>
        <w:spacing w:lineRule="auto" w:line="360" w:before="0" w:after="0"/>
        <w:ind w:firstLine="709"/>
        <w:jc w:val="both"/>
      </w:pPr>
      <w:r>
        <w:rPr>
          <w:rFonts w:ascii="Times New Roman" w:hAnsi="Times New Roman" w:cs="Times New Roman" w:eastAsia="Times New Roman"/>
          <w:b w:val="0"/>
          <w:i w:val="0"/>
          <w:sz w:val="28"/>
        </w:rPr>
        <w:t>Ключевые CHECK-ограничения уровня СУБД:</w:t>
      </w:r>
    </w:p>
    <w:p>
      <w:pPr>
        <w:spacing w:lineRule="auto" w:line="360" w:before="0" w:after="0"/>
        <w:ind w:left="709" w:hanging="283"/>
        <w:jc w:val="both"/>
      </w:pPr>
      <w:r>
        <w:rPr>
          <w:rFonts w:ascii="Times New Roman" w:hAnsi="Times New Roman" w:cs="Times New Roman" w:eastAsia="Times New Roman"/>
          <w:b w:val="0"/>
          <w:i w:val="0"/>
          <w:sz w:val="28"/>
        </w:rPr>
        <w:t>— spare_parts.quantity &gt;= 0, spare_parts.min_quantity &gt;= 0 — неотрицательный остаток на складе;</w:t>
      </w:r>
    </w:p>
    <w:p>
      <w:pPr>
        <w:spacing w:lineRule="auto" w:line="360" w:before="0" w:after="0"/>
        <w:ind w:left="709" w:hanging="283"/>
        <w:jc w:val="both"/>
      </w:pPr>
      <w:r>
        <w:rPr>
          <w:rFonts w:ascii="Times New Roman" w:hAnsi="Times New Roman" w:cs="Times New Roman" w:eastAsia="Times New Roman"/>
          <w:b w:val="0"/>
          <w:i w:val="0"/>
          <w:sz w:val="28"/>
        </w:rPr>
        <w:t>— request_parts.quantity_used &gt; 0, request_parts.unit_price_at_use &gt;= 0;</w:t>
      </w:r>
    </w:p>
    <w:p>
      <w:pPr>
        <w:spacing w:lineRule="auto" w:line="360" w:before="0" w:after="0"/>
        <w:ind w:left="709" w:hanging="283"/>
        <w:jc w:val="both"/>
      </w:pPr>
      <w:r>
        <w:rPr>
          <w:rFonts w:ascii="Times New Roman" w:hAnsi="Times New Roman" w:cs="Times New Roman" w:eastAsia="Times New Roman"/>
          <w:b w:val="0"/>
          <w:i w:val="0"/>
          <w:sz w:val="28"/>
        </w:rPr>
        <w:t>— maintenance_requests.closed_at &gt;= created_at — дата закрытия не может предшествовать дате открытия;</w:t>
      </w:r>
    </w:p>
    <w:p>
      <w:pPr>
        <w:spacing w:lineRule="auto" w:line="360" w:before="0" w:after="0"/>
        <w:ind w:left="709" w:hanging="283"/>
        <w:jc w:val="both"/>
      </w:pPr>
      <w:r>
        <w:rPr>
          <w:rFonts w:ascii="Times New Roman" w:hAnsi="Times New Roman" w:cs="Times New Roman" w:eastAsia="Times New Roman"/>
          <w:b w:val="0"/>
          <w:i w:val="0"/>
          <w:sz w:val="28"/>
        </w:rPr>
        <w:t>— maintenance_requests.started_at &gt;= created_at — дата начала работы не предшествует регистрации;</w:t>
      </w:r>
    </w:p>
    <w:p>
      <w:pPr>
        <w:spacing w:lineRule="auto" w:line="360" w:before="0" w:after="0"/>
        <w:ind w:left="709" w:hanging="283"/>
        <w:jc w:val="both"/>
      </w:pPr>
      <w:r>
        <w:rPr>
          <w:rFonts w:ascii="Times New Roman" w:hAnsi="Times New Roman" w:cs="Times New Roman" w:eastAsia="Times New Roman"/>
          <w:b w:val="0"/>
          <w:i w:val="0"/>
          <w:sz w:val="28"/>
        </w:rPr>
        <w:t>— priorities.sla_hours &gt; 0, equipment_types.normative_mttr_hours &gt; 0;</w:t>
      </w:r>
    </w:p>
    <w:p>
      <w:pPr>
        <w:spacing w:lineRule="auto" w:line="360" w:before="0" w:after="0"/>
        <w:ind w:left="709" w:hanging="283"/>
        <w:jc w:val="both"/>
      </w:pPr>
      <w:r>
        <w:rPr>
          <w:rFonts w:ascii="Times New Roman" w:hAnsi="Times New Roman" w:cs="Times New Roman" w:eastAsia="Times New Roman"/>
          <w:b w:val="0"/>
          <w:i w:val="0"/>
          <w:sz w:val="28"/>
        </w:rPr>
        <w:t>— length(trim(title)) &gt;= 5 — содержательное наименование заявки.</w:t>
      </w:r>
    </w:p>
    <w:p>
      <w:pPr>
        <w:spacing w:lineRule="auto" w:line="360" w:before="0" w:after="0"/>
        <w:ind w:firstLine="709"/>
        <w:jc w:val="both"/>
      </w:pPr>
      <w:r>
        <w:rPr>
          <w:rFonts w:ascii="Times New Roman" w:hAnsi="Times New Roman" w:cs="Times New Roman" w:eastAsia="Times New Roman"/>
          <w:b w:val="0"/>
          <w:i w:val="0"/>
          <w:sz w:val="28"/>
        </w:rPr>
        <w:t>Ниже приведены ключевые фрагменты DDL-скрипта.</w:t>
      </w:r>
    </w:p>
    <w:p>
      <w:pPr>
        <w:spacing w:lineRule="auto" w:line="276" w:before="80" w:after="160"/>
        <w:ind w:firstLine="0"/>
        <w:jc w:val="left"/>
      </w:pPr>
      <w:r>
        <w:rPr>
          <w:rFonts w:ascii="Courier New" w:hAnsi="Courier New" w:cs="Courier New"/>
          <w:sz w:val="22"/>
        </w:rPr>
        <w:t>CREATE TABLE maintenance_requests (</w:t>
        <w:br/>
        <w:t xml:space="preserve">    id              INTEGER PRIMARY KEY AUTOINCREMENT,</w:t>
        <w:br/>
        <w:t xml:space="preserve">    equipment_id    INTEGER NOT NULL,</w:t>
        <w:br/>
        <w:t xml:space="preserve">    priority_id     INTEGER NOT NULL,</w:t>
        <w:br/>
        <w:t xml:space="preserve">    status_id       INTEGER NOT NULL,</w:t>
        <w:br/>
        <w:t xml:space="preserve">    title           TEXT    NOT NULL CHECK (length(trim(title)) &gt;= 5),</w:t>
        <w:br/>
        <w:t xml:space="preserve">    description     TEXT,</w:t>
        <w:br/>
        <w:t xml:space="preserve">    planned_date    DATE,</w:t>
        <w:br/>
        <w:t xml:space="preserve">    assigned_to     INTEGER,</w:t>
        <w:br/>
        <w:t xml:space="preserve">    created_by      INTEGER NOT NULL,</w:t>
        <w:br/>
        <w:t xml:space="preserve">    created_at      TIMESTAMP NOT NULL DEFAULT CURRENT_TIMESTAMP,</w:t>
        <w:br/>
        <w:t xml:space="preserve">    started_at      TIMESTAMP,</w:t>
        <w:br/>
        <w:t xml:space="preserve">    closed_at       TIMESTAMP,</w:t>
        <w:br/>
        <w:t xml:space="preserve">    completion_note TEXT,</w:t>
        <w:br/>
        <w:t xml:space="preserve">    CHECK (closed_at IS NULL OR closed_at &gt;= created_at),</w:t>
        <w:br/>
        <w:t xml:space="preserve">    FOREIGN KEY (equipment_id) REFERENCES equipment        (id),</w:t>
        <w:br/>
        <w:t xml:space="preserve">    FOREIGN KEY (priority_id)  REFERENCES priorities       (id),</w:t>
        <w:br/>
        <w:t xml:space="preserve">    FOREIGN KEY (status_id)    REFERENCES request_statuses (id),</w:t>
        <w:br/>
        <w:t xml:space="preserve">    FOREIGN KEY (assigned_to)  REFERENCES staff            (id) ON DELETE SET NULL,</w:t>
        <w:br/>
        <w:t xml:space="preserve">    FOREIGN KEY (created_by)   REFERENCES staff            (id)</w:t>
        <w:br/>
        <w:t>);</w:t>
      </w:r>
    </w:p>
    <w:p>
      <w:pPr>
        <w:spacing w:lineRule="auto" w:line="360" w:before="0" w:after="0"/>
        <w:ind w:firstLine="709"/>
        <w:jc w:val="both"/>
      </w:pPr>
      <w:r>
        <w:rPr>
          <w:rFonts w:ascii="Times New Roman" w:hAnsi="Times New Roman" w:cs="Times New Roman" w:eastAsia="Times New Roman"/>
          <w:b w:val="0"/>
          <w:i w:val="0"/>
          <w:sz w:val="28"/>
        </w:rPr>
        <w:t>Триггер trg_request_status_audit автоматически фиксирует каждое изменение статуса заявки в журнале request_status_history, что создаёт неизменяемый аудит-след для последующих разбирательств. Триггер trg_parts_no_overdraft выполняет резервную защиту от ухода остатка на складе в отрицательную область — даже при ошибке прикладного слоя СУБД отклонит соответствующий UPDATE.</w:t>
      </w:r>
    </w:p>
    <w:p>
      <w:pPr>
        <w:spacing w:lineRule="auto" w:line="276" w:before="80" w:after="160"/>
        <w:ind w:firstLine="0"/>
        <w:jc w:val="left"/>
      </w:pPr>
      <w:r>
        <w:rPr>
          <w:rFonts w:ascii="Courier New" w:hAnsi="Courier New" w:cs="Courier New"/>
          <w:sz w:val="22"/>
        </w:rPr>
        <w:t>CREATE TRIGGER trg_request_status_audit</w:t>
        <w:br/>
        <w:t>AFTER UPDATE OF status_id ON maintenance_requests</w:t>
        <w:br/>
        <w:t>FOR EACH ROW</w:t>
        <w:br/>
        <w:t>WHEN OLD.status_id != NEW.status_id</w:t>
        <w:br/>
        <w:t>BEGIN</w:t>
        <w:br/>
        <w:t xml:space="preserve">    INSERT INTO request_status_history</w:t>
        <w:br/>
        <w:t xml:space="preserve">        (request_id, old_status_id, new_status_id, changed_by, note)</w:t>
        <w:br/>
        <w:t xml:space="preserve">    VALUES (</w:t>
        <w:br/>
        <w:t xml:space="preserve">        NEW.id, OLD.status_id, NEW.status_id,</w:t>
        <w:br/>
        <w:t xml:space="preserve">        COALESCE(NEW.assigned_to, NEW.created_by),</w:t>
        <w:br/>
        <w:t xml:space="preserve">        'Автоматическая регистрация смены статуса'</w:t>
        <w:br/>
        <w:t xml:space="preserve">    );</w:t>
        <w:br/>
        <w:t>END;</w:t>
        <w:br/>
        <w:br/>
        <w:t>CREATE TRIGGER trg_parts_no_overdraft</w:t>
        <w:br/>
        <w:t>BEFORE UPDATE OF quantity ON spare_parts</w:t>
        <w:br/>
        <w:t>FOR EACH ROW</w:t>
        <w:br/>
        <w:t>WHEN NEW.quantity &lt; 0</w:t>
        <w:br/>
        <w:t>BEGIN</w:t>
        <w:br/>
        <w:t xml:space="preserve">    SELECT RAISE(ABORT, 'Невозможно списать больше, чем имеется на складе');</w:t>
        <w:br/>
        <w:t>END;</w:t>
      </w:r>
    </w:p>
    <w:p>
      <w:pPr>
        <w:spacing w:lineRule="auto" w:line="360" w:before="160" w:after="160"/>
        <w:ind w:firstLine="0"/>
        <w:jc w:val="center"/>
      </w:pPr>
      <w:r>
        <w:rPr>
          <w:rFonts w:ascii="Times New Roman" w:hAnsi="Times New Roman" w:cs="Times New Roman" w:eastAsia="Times New Roman"/>
          <w:b w:val="0"/>
          <w:i/>
          <w:color w:val="333333"/>
          <w:sz w:val="28"/>
        </w:rPr>
        <w:t>{Скриншот: Результат успешного выполнения DDL-скрипта в DB Browser for SQLite — список из 11 таблиц с количеством записей}</w:t>
      </w:r>
    </w:p>
    <w:p>
      <w:pPr>
        <w:spacing w:lineRule="auto" w:line="360" w:before="0" w:after="240"/>
        <w:ind w:firstLine="0"/>
        <w:jc w:val="center"/>
      </w:pPr>
      <w:r>
        <w:rPr>
          <w:rFonts w:ascii="Times New Roman" w:hAnsi="Times New Roman" w:cs="Times New Roman" w:eastAsia="Times New Roman"/>
          <w:b w:val="0"/>
          <w:i w:val="0"/>
          <w:sz w:val="28"/>
        </w:rPr>
        <w:t>Рисунок 1.2 — Структура базы данных после развёртывания</w:t>
      </w:r>
    </w:p>
    <w:p>
      <w:pPr>
        <w:spacing w:lineRule="auto" w:line="360" w:before="240" w:after="160"/>
        <w:ind w:firstLine="0"/>
        <w:jc w:val="left"/>
      </w:pPr>
      <w:r>
        <w:rPr>
          <w:rFonts w:ascii="Times New Roman" w:hAnsi="Times New Roman" w:cs="Times New Roman" w:eastAsia="Times New Roman"/>
          <w:b/>
          <w:i w:val="0"/>
          <w:sz w:val="28"/>
        </w:rPr>
        <w:t>1.8. Промежуточные итоги нормализации</w:t>
      </w:r>
    </w:p>
    <w:p>
      <w:pPr>
        <w:spacing w:lineRule="auto" w:line="360" w:before="0" w:after="0"/>
        <w:ind w:firstLine="709"/>
        <w:jc w:val="both"/>
      </w:pPr>
      <w:r>
        <w:rPr>
          <w:rFonts w:ascii="Times New Roman" w:hAnsi="Times New Roman" w:cs="Times New Roman" w:eastAsia="Times New Roman"/>
          <w:b w:val="0"/>
          <w:i w:val="0"/>
          <w:sz w:val="28"/>
        </w:rPr>
        <w:t>На данном этапе сформирована классическая 3НФ-схема, обеспечивающая отсутствие избыточности и аномалий обновления. Дальнейшие подразделы (1.9–1.13) посвящены углублённой проработке тех аспектов схемы, которые имеют значение для эксплуатации, финансовой достоверности, аудита и развития системы. Эти решения выходят за рамки чистой теории нормализации и формируют практически пригодную к промышленному внедрению модель данных.</w:t>
      </w:r>
    </w:p>
    <w:p>
      <w:pPr>
        <w:spacing w:lineRule="auto" w:line="360" w:before="240" w:after="160"/>
        <w:ind w:firstLine="0"/>
        <w:jc w:val="left"/>
      </w:pPr>
      <w:r>
        <w:rPr>
          <w:rFonts w:ascii="Times New Roman" w:hAnsi="Times New Roman" w:cs="Times New Roman" w:eastAsia="Times New Roman"/>
          <w:b/>
          <w:i w:val="0"/>
          <w:sz w:val="28"/>
        </w:rPr>
        <w:t>1.9. Историческая цена запчасти и финансовая достоверность</w:t>
      </w:r>
    </w:p>
    <w:p>
      <w:pPr>
        <w:spacing w:lineRule="auto" w:line="360" w:before="0" w:after="0"/>
        <w:ind w:firstLine="709"/>
        <w:jc w:val="both"/>
      </w:pPr>
      <w:r>
        <w:rPr>
          <w:rFonts w:ascii="Times New Roman" w:hAnsi="Times New Roman" w:cs="Times New Roman" w:eastAsia="Times New Roman"/>
          <w:b w:val="0"/>
          <w:i w:val="0"/>
          <w:sz w:val="28"/>
        </w:rPr>
        <w:t>Одним из принципиальных архитектурных решений, принятых автором при нормализации схемы, является разделение двух независимых атрибутов — текущей цены запчасти spare_parts.unit_price и зафиксированной цены списания request_parts.unit_price_at_use. На первый взгляд хранение цены в обеих таблицах напоминает денормализацию и нарушение третьей нормальной формы; однако более внимательный анализ показывает, что речь идёт о двух различных функциональных зависимостях, относящихся к разным предметным сущностям и разным моментам времени.</w:t>
      </w:r>
    </w:p>
    <w:p>
      <w:pPr>
        <w:spacing w:lineRule="auto" w:line="360" w:before="0" w:after="0"/>
        <w:ind w:firstLine="709"/>
        <w:jc w:val="both"/>
      </w:pPr>
      <w:r>
        <w:rPr>
          <w:rFonts w:ascii="Times New Roman" w:hAnsi="Times New Roman" w:cs="Times New Roman" w:eastAsia="Times New Roman"/>
          <w:b w:val="0"/>
          <w:i w:val="0"/>
          <w:sz w:val="28"/>
        </w:rPr>
        <w:t>Цена в таблице spare_parts отражает текущее состояние прейскуранта склада и регулярно обновляется при поступлении новых партий по новым закупочным ценам. Цена в request_parts фиксируется единожды, в момент закрытия заявки, и в дальнейшем не изменяется. Это разделение соответствует общепринятой практике бухгалтерского учёта, согласно которой стоимость использованных в ремонте материалов признаётся по цене на дату совершения операции (аналогично методу средневзвешенной стоимости или FIFO). Без такого разделения отчёт о фактической стоимости ремонта оборудования, выполненного полгода назад, автоматически переоценивался бы по текущему прейскуранту и терял достоверность.</w:t>
      </w:r>
    </w:p>
    <w:p>
      <w:pPr>
        <w:spacing w:lineRule="auto" w:line="360" w:before="0" w:after="0"/>
        <w:ind w:firstLine="709"/>
        <w:jc w:val="both"/>
      </w:pPr>
      <w:r>
        <w:rPr>
          <w:rFonts w:ascii="Times New Roman" w:hAnsi="Times New Roman" w:cs="Times New Roman" w:eastAsia="Times New Roman"/>
          <w:b w:val="0"/>
          <w:i w:val="0"/>
          <w:sz w:val="28"/>
        </w:rPr>
        <w:t>С точки зрения теории нормализации фиксированная цена является не транзитивно зависимым атрибутом, а собственной характеристикой факта списания. Функциональная зависимость (request_id, part_id) → unit_price_at_use является полной и нетранзитивной: цена в момент списания не выводится из других атрибутов отношения. Таким образом, 3НФ не нарушается. Аналогичный приём используется в промышленных ERP-системах (SAP MM, 1С:Бухгалтерия) для обеспечения исторической достоверности финансовой отчётности при изменении номенклатурных справочников.</w:t>
      </w:r>
    </w:p>
    <w:p>
      <w:pPr>
        <w:spacing w:lineRule="auto" w:line="360" w:before="0" w:after="0"/>
        <w:ind w:firstLine="709"/>
        <w:jc w:val="both"/>
      </w:pPr>
      <w:r>
        <w:rPr>
          <w:rFonts w:ascii="Times New Roman" w:hAnsi="Times New Roman" w:cs="Times New Roman" w:eastAsia="Times New Roman"/>
          <w:b w:val="0"/>
          <w:i w:val="0"/>
          <w:sz w:val="28"/>
        </w:rPr>
        <w:t>Преимущества предложенного разделения цен:</w:t>
      </w:r>
    </w:p>
    <w:p>
      <w:pPr>
        <w:spacing w:lineRule="auto" w:line="360" w:before="0" w:after="0"/>
        <w:ind w:left="709" w:hanging="283"/>
        <w:jc w:val="both"/>
      </w:pPr>
      <w:r>
        <w:rPr>
          <w:rFonts w:ascii="Times New Roman" w:hAnsi="Times New Roman" w:cs="Times New Roman" w:eastAsia="Times New Roman"/>
          <w:b w:val="0"/>
          <w:i w:val="0"/>
          <w:sz w:val="28"/>
        </w:rPr>
        <w:t>— сохранение исторической достоверности отчётов о фактической стоимости каждого ремонта при последующих изменениях прейскуранта;</w:t>
      </w:r>
    </w:p>
    <w:p>
      <w:pPr>
        <w:spacing w:lineRule="auto" w:line="360" w:before="0" w:after="0"/>
        <w:ind w:left="709" w:hanging="283"/>
        <w:jc w:val="both"/>
      </w:pPr>
      <w:r>
        <w:rPr>
          <w:rFonts w:ascii="Times New Roman" w:hAnsi="Times New Roman" w:cs="Times New Roman" w:eastAsia="Times New Roman"/>
          <w:b w:val="0"/>
          <w:i w:val="0"/>
          <w:sz w:val="28"/>
        </w:rPr>
        <w:t>— возможность построения финансовых KPI (средняя стоимость ремонта единицы оборудования, общая сумма списанных материалов за период) без переоценок;</w:t>
      </w:r>
    </w:p>
    <w:p>
      <w:pPr>
        <w:spacing w:lineRule="auto" w:line="360" w:before="0" w:after="0"/>
        <w:ind w:left="709" w:hanging="283"/>
        <w:jc w:val="both"/>
      </w:pPr>
      <w:r>
        <w:rPr>
          <w:rFonts w:ascii="Times New Roman" w:hAnsi="Times New Roman" w:cs="Times New Roman" w:eastAsia="Times New Roman"/>
          <w:b w:val="0"/>
          <w:i w:val="0"/>
          <w:sz w:val="28"/>
        </w:rPr>
        <w:t>— независимость аналитики от текущей маркетинговой ценовой политики снабжения;</w:t>
      </w:r>
    </w:p>
    <w:p>
      <w:pPr>
        <w:spacing w:lineRule="auto" w:line="360" w:before="0" w:after="0"/>
        <w:ind w:left="709" w:hanging="283"/>
        <w:jc w:val="both"/>
      </w:pPr>
      <w:r>
        <w:rPr>
          <w:rFonts w:ascii="Times New Roman" w:hAnsi="Times New Roman" w:cs="Times New Roman" w:eastAsia="Times New Roman"/>
          <w:b w:val="0"/>
          <w:i w:val="0"/>
          <w:sz w:val="28"/>
        </w:rPr>
        <w:t>— поддержка валютной устойчивости при работе с импортными запчастями и колебаниями курса;</w:t>
      </w:r>
    </w:p>
    <w:p>
      <w:pPr>
        <w:spacing w:lineRule="auto" w:line="360" w:before="0" w:after="0"/>
        <w:ind w:left="709" w:hanging="283"/>
        <w:jc w:val="both"/>
      </w:pPr>
      <w:r>
        <w:rPr>
          <w:rFonts w:ascii="Times New Roman" w:hAnsi="Times New Roman" w:cs="Times New Roman" w:eastAsia="Times New Roman"/>
          <w:b w:val="0"/>
          <w:i w:val="0"/>
          <w:sz w:val="28"/>
        </w:rPr>
        <w:t>— соответствие принципам непрерывности и осмотрительности бухгалтерского учёта (МСФО, IAS 2).</w:t>
      </w:r>
    </w:p>
    <w:p>
      <w:pPr>
        <w:spacing w:lineRule="auto" w:line="360" w:before="240" w:after="160"/>
        <w:ind w:firstLine="0"/>
        <w:jc w:val="left"/>
      </w:pPr>
      <w:r>
        <w:rPr>
          <w:rFonts w:ascii="Times New Roman" w:hAnsi="Times New Roman" w:cs="Times New Roman" w:eastAsia="Times New Roman"/>
          <w:b/>
          <w:i w:val="0"/>
          <w:sz w:val="28"/>
        </w:rPr>
        <w:t>1.10. Аудит-журнал смен статуса и принцип неизменяемости</w:t>
      </w:r>
    </w:p>
    <w:p>
      <w:pPr>
        <w:spacing w:lineRule="auto" w:line="360" w:before="0" w:after="0"/>
        <w:ind w:firstLine="709"/>
        <w:jc w:val="both"/>
      </w:pPr>
      <w:r>
        <w:rPr>
          <w:rFonts w:ascii="Times New Roman" w:hAnsi="Times New Roman" w:cs="Times New Roman" w:eastAsia="Times New Roman"/>
          <w:b w:val="0"/>
          <w:i w:val="0"/>
          <w:sz w:val="28"/>
        </w:rPr>
        <w:t>Таблица request_status_history является примером реализации архитектурного шаблона Immutable Audit Log — неизменяемого аудит-журнала, в который данные могут только вноситься, но никогда не изменяются и не удаляются. Это принципиальное требование для систем, претендующих на достоверность данных в долгосрочной перспективе и удовлетворение требований внешнего аудита (например, по стандартам ISO 9001 для систем менеджмента качества).</w:t>
      </w:r>
    </w:p>
    <w:p>
      <w:pPr>
        <w:spacing w:lineRule="auto" w:line="360" w:before="0" w:after="0"/>
        <w:ind w:firstLine="709"/>
        <w:jc w:val="both"/>
      </w:pPr>
      <w:r>
        <w:rPr>
          <w:rFonts w:ascii="Times New Roman" w:hAnsi="Times New Roman" w:cs="Times New Roman" w:eastAsia="Times New Roman"/>
          <w:b w:val="0"/>
          <w:i w:val="0"/>
          <w:sz w:val="28"/>
        </w:rPr>
        <w:t>Каждая запись журнала содержит ссылку на заявку, идентификаторы предыдущего и нового статусов, отметку времени изменения (заполняется СУБД автоматически), ссылку на сотрудника, инициировавшего смену, и произвольный текстовый комментарий. Триггер БД trg_request_status_audit гарантирует, что ни одно изменение статуса заявки не может пройти мимо журнала: даже при попытке прикладного слоя выполнить «тихое» обновление, СУБД на уровне триггера AFTER UPDATE добавит соответствующую строку.</w:t>
      </w:r>
    </w:p>
    <w:p>
      <w:pPr>
        <w:spacing w:lineRule="auto" w:line="360" w:before="0" w:after="0"/>
        <w:ind w:firstLine="709"/>
        <w:jc w:val="both"/>
      </w:pPr>
      <w:r>
        <w:rPr>
          <w:rFonts w:ascii="Times New Roman" w:hAnsi="Times New Roman" w:cs="Times New Roman" w:eastAsia="Times New Roman"/>
          <w:b w:val="0"/>
          <w:i w:val="0"/>
          <w:sz w:val="28"/>
        </w:rPr>
        <w:t>Преимущества неизменяемого аудит-журнала:</w:t>
      </w:r>
    </w:p>
    <w:p>
      <w:pPr>
        <w:spacing w:lineRule="auto" w:line="360" w:before="0" w:after="0"/>
        <w:ind w:left="709" w:hanging="283"/>
        <w:jc w:val="both"/>
      </w:pPr>
      <w:r>
        <w:rPr>
          <w:rFonts w:ascii="Times New Roman" w:hAnsi="Times New Roman" w:cs="Times New Roman" w:eastAsia="Times New Roman"/>
          <w:b w:val="0"/>
          <w:i w:val="0"/>
          <w:sz w:val="28"/>
        </w:rPr>
        <w:t>— восстановление полной хронологии работы по заявке для расследования спорных ситуаций;</w:t>
      </w:r>
    </w:p>
    <w:p>
      <w:pPr>
        <w:spacing w:lineRule="auto" w:line="360" w:before="0" w:after="0"/>
        <w:ind w:left="709" w:hanging="283"/>
        <w:jc w:val="both"/>
      </w:pPr>
      <w:r>
        <w:rPr>
          <w:rFonts w:ascii="Times New Roman" w:hAnsi="Times New Roman" w:cs="Times New Roman" w:eastAsia="Times New Roman"/>
          <w:b w:val="0"/>
          <w:i w:val="0"/>
          <w:sz w:val="28"/>
        </w:rPr>
        <w:t>— вычисление точных интервалов нахождения заявки в каждом статусе для последующего анализа узких мест (методология Value Stream Mapping);</w:t>
      </w:r>
    </w:p>
    <w:p>
      <w:pPr>
        <w:spacing w:lineRule="auto" w:line="360" w:before="0" w:after="0"/>
        <w:ind w:left="709" w:hanging="283"/>
        <w:jc w:val="both"/>
      </w:pPr>
      <w:r>
        <w:rPr>
          <w:rFonts w:ascii="Times New Roman" w:hAnsi="Times New Roman" w:cs="Times New Roman" w:eastAsia="Times New Roman"/>
          <w:b w:val="0"/>
          <w:i w:val="0"/>
          <w:sz w:val="28"/>
        </w:rPr>
        <w:t>— соответствие требованиям compliance — журнал может быть предъявлен внутреннему или внешнему аудитору;</w:t>
      </w:r>
    </w:p>
    <w:p>
      <w:pPr>
        <w:spacing w:lineRule="auto" w:line="360" w:before="0" w:after="0"/>
        <w:ind w:left="709" w:hanging="283"/>
        <w:jc w:val="both"/>
      </w:pPr>
      <w:r>
        <w:rPr>
          <w:rFonts w:ascii="Times New Roman" w:hAnsi="Times New Roman" w:cs="Times New Roman" w:eastAsia="Times New Roman"/>
          <w:b w:val="0"/>
          <w:i w:val="0"/>
          <w:sz w:val="28"/>
        </w:rPr>
        <w:t>— выявление аномального поведения (например, частая смена исполнителей по одной заявке как признак неверного первоначального диагноза);</w:t>
      </w:r>
    </w:p>
    <w:p>
      <w:pPr>
        <w:spacing w:lineRule="auto" w:line="360" w:before="0" w:after="0"/>
        <w:ind w:left="709" w:hanging="283"/>
        <w:jc w:val="both"/>
      </w:pPr>
      <w:r>
        <w:rPr>
          <w:rFonts w:ascii="Times New Roman" w:hAnsi="Times New Roman" w:cs="Times New Roman" w:eastAsia="Times New Roman"/>
          <w:b w:val="0"/>
          <w:i w:val="0"/>
          <w:sz w:val="28"/>
        </w:rPr>
        <w:t>— статистическая база для расчёта среднего времени пребывания заявки в статусе «Получена» (показатель оперативности диспетчерской службы).</w:t>
      </w:r>
    </w:p>
    <w:p>
      <w:pPr>
        <w:spacing w:lineRule="auto" w:line="360" w:before="160" w:after="160"/>
        <w:ind w:firstLine="0"/>
        <w:jc w:val="center"/>
      </w:pPr>
      <w:r>
        <w:rPr>
          <w:rFonts w:ascii="Times New Roman" w:hAnsi="Times New Roman" w:cs="Times New Roman" w:eastAsia="Times New Roman"/>
          <w:b w:val="0"/>
          <w:i/>
          <w:color w:val="333333"/>
          <w:sz w:val="28"/>
        </w:rPr>
        <w:t>{Скриншот: Содержимое таблицы request_status_history в DB Browser for SQLite — хронологическая лента смен статусов с отметками времени, исполнителями и комментариями}</w:t>
      </w:r>
    </w:p>
    <w:p>
      <w:pPr>
        <w:spacing w:lineRule="auto" w:line="360" w:before="0" w:after="240"/>
        <w:ind w:firstLine="0"/>
        <w:jc w:val="center"/>
      </w:pPr>
      <w:r>
        <w:rPr>
          <w:rFonts w:ascii="Times New Roman" w:hAnsi="Times New Roman" w:cs="Times New Roman" w:eastAsia="Times New Roman"/>
          <w:b w:val="0"/>
          <w:i w:val="0"/>
          <w:sz w:val="28"/>
        </w:rPr>
        <w:t>Рисунок 1.3 — Аудит-журнал смен статусов</w:t>
      </w:r>
    </w:p>
    <w:p>
      <w:pPr>
        <w:spacing w:lineRule="auto" w:line="360" w:before="240" w:after="160"/>
        <w:ind w:firstLine="0"/>
        <w:jc w:val="left"/>
      </w:pPr>
      <w:r>
        <w:rPr>
          <w:rFonts w:ascii="Times New Roman" w:hAnsi="Times New Roman" w:cs="Times New Roman" w:eastAsia="Times New Roman"/>
          <w:b/>
          <w:i w:val="0"/>
          <w:sz w:val="28"/>
        </w:rPr>
        <w:t>1.11. Индексирование под характерные запросы диспетчера</w:t>
      </w:r>
    </w:p>
    <w:p>
      <w:pPr>
        <w:spacing w:lineRule="auto" w:line="360" w:before="0" w:after="0"/>
        <w:ind w:firstLine="709"/>
        <w:jc w:val="both"/>
      </w:pPr>
      <w:r>
        <w:rPr>
          <w:rFonts w:ascii="Times New Roman" w:hAnsi="Times New Roman" w:cs="Times New Roman" w:eastAsia="Times New Roman"/>
          <w:b w:val="0"/>
          <w:i w:val="0"/>
          <w:sz w:val="28"/>
        </w:rPr>
        <w:t>Эффективность работы информационной системы определяется не только корректностью схемы данных, но и продуманной стратегией индексирования. При проектировании индексов автором проведён предварительный анализ типовых запросов диспетчера, поскольку именно их частота и распределение определяют рабочую нагрузку на СУБД и приемлемость времени отклика интерфейса.</w:t>
      </w:r>
    </w:p>
    <w:p>
      <w:pPr>
        <w:spacing w:lineRule="auto" w:line="360" w:before="0" w:after="0"/>
        <w:ind w:firstLine="709"/>
        <w:jc w:val="both"/>
      </w:pPr>
      <w:r>
        <w:rPr>
          <w:rFonts w:ascii="Times New Roman" w:hAnsi="Times New Roman" w:cs="Times New Roman" w:eastAsia="Times New Roman"/>
          <w:b w:val="0"/>
          <w:i w:val="0"/>
          <w:sz w:val="28"/>
        </w:rPr>
        <w:t>Выделены четыре характерных шаблона запросов:</w:t>
      </w:r>
    </w:p>
    <w:p>
      <w:pPr>
        <w:spacing w:lineRule="auto" w:line="360" w:before="0" w:after="0"/>
        <w:ind w:left="709" w:hanging="283"/>
        <w:jc w:val="both"/>
      </w:pPr>
      <w:r>
        <w:rPr>
          <w:rFonts w:ascii="Times New Roman" w:hAnsi="Times New Roman" w:cs="Times New Roman" w:eastAsia="Times New Roman"/>
          <w:b w:val="0"/>
          <w:i w:val="0"/>
          <w:sz w:val="28"/>
        </w:rPr>
        <w:t>— получение всех открытых заявок, сгруппированных по статусам, для построения канбан-доски (фильтр по status_id и сортировка по priority_id);</w:t>
      </w:r>
    </w:p>
    <w:p>
      <w:pPr>
        <w:spacing w:lineRule="auto" w:line="360" w:before="0" w:after="0"/>
        <w:ind w:left="709" w:hanging="283"/>
        <w:jc w:val="both"/>
      </w:pPr>
      <w:r>
        <w:rPr>
          <w:rFonts w:ascii="Times New Roman" w:hAnsi="Times New Roman" w:cs="Times New Roman" w:eastAsia="Times New Roman"/>
          <w:b w:val="0"/>
          <w:i w:val="0"/>
          <w:sz w:val="28"/>
        </w:rPr>
        <w:t>— получение списка заявок назначенного исполнителя (фильтр по assigned_to, обычно дополнительный фильтр по «незакрытые»);</w:t>
      </w:r>
    </w:p>
    <w:p>
      <w:pPr>
        <w:spacing w:lineRule="auto" w:line="360" w:before="0" w:after="0"/>
        <w:ind w:left="709" w:hanging="283"/>
        <w:jc w:val="both"/>
      </w:pPr>
      <w:r>
        <w:rPr>
          <w:rFonts w:ascii="Times New Roman" w:hAnsi="Times New Roman" w:cs="Times New Roman" w:eastAsia="Times New Roman"/>
          <w:b w:val="0"/>
          <w:i w:val="0"/>
          <w:sz w:val="28"/>
        </w:rPr>
        <w:t>— получение списка критических заявок по конкретной единице оборудования (фильтр по equipment_id и priority_id = critical);</w:t>
      </w:r>
    </w:p>
    <w:p>
      <w:pPr>
        <w:spacing w:lineRule="auto" w:line="360" w:before="0" w:after="0"/>
        <w:ind w:left="709" w:hanging="283"/>
        <w:jc w:val="both"/>
      </w:pPr>
      <w:r>
        <w:rPr>
          <w:rFonts w:ascii="Times New Roman" w:hAnsi="Times New Roman" w:cs="Times New Roman" w:eastAsia="Times New Roman"/>
          <w:b w:val="0"/>
          <w:i w:val="0"/>
          <w:sz w:val="28"/>
        </w:rPr>
        <w:t>— получение журнала смен статусов по заявке (фильтр по request_id с сортировкой по changed_at DESC).</w:t>
      </w:r>
    </w:p>
    <w:p>
      <w:pPr>
        <w:spacing w:lineRule="auto" w:line="360" w:before="0" w:after="0"/>
        <w:ind w:firstLine="709"/>
        <w:jc w:val="both"/>
      </w:pPr>
      <w:r>
        <w:rPr>
          <w:rFonts w:ascii="Times New Roman" w:hAnsi="Times New Roman" w:cs="Times New Roman" w:eastAsia="Times New Roman"/>
          <w:b w:val="0"/>
          <w:i w:val="0"/>
          <w:sz w:val="28"/>
        </w:rPr>
        <w:t>С учётом этих шаблонов в DDL-скрипте созданы составные и одиночные индексы, представленные в таблице 1.3.</w:t>
      </w:r>
    </w:p>
    <w:tbl>
      <w:tblPr>
        <w:tblStyle w:val="TableGrid"/>
        <w:tblW w:type="auto" w:w="0"/>
        <w:jc w:val="center"/>
        <w:tblLook w:firstColumn="1" w:firstRow="1" w:lastColumn="0" w:lastRow="0" w:noHBand="0" w:noVBand="1" w:val="04A0"/>
      </w:tblPr>
      <w:tblGrid>
        <w:gridCol w:w="3324"/>
        <w:gridCol w:w="3324"/>
        <w:gridCol w:w="3324"/>
      </w:tblGrid>
      <w:tr>
        <w:tc>
          <w:tcPr>
            <w:tcW w:type="dxa" w:w="2551"/>
            <w:vAlign w:val="center"/>
          </w:tcPr>
          <w:p>
            <w:pPr>
              <w:spacing w:lineRule="auto" w:line="276" w:before="0" w:after="0"/>
              <w:ind w:firstLine="0"/>
              <w:jc w:val="center"/>
            </w:pPr>
            <w:r/>
            <w:r>
              <w:rPr>
                <w:rFonts w:ascii="Times New Roman" w:hAnsi="Times New Roman" w:cs="Times New Roman" w:eastAsia="Times New Roman"/>
                <w:b/>
                <w:i w:val="0"/>
                <w:sz w:val="28"/>
              </w:rPr>
              <w:t>Индекс</w:t>
            </w:r>
          </w:p>
        </w:tc>
        <w:tc>
          <w:tcPr>
            <w:tcW w:type="dxa" w:w="2551"/>
            <w:vAlign w:val="center"/>
          </w:tcPr>
          <w:p>
            <w:pPr>
              <w:spacing w:lineRule="auto" w:line="276" w:before="0" w:after="0"/>
              <w:ind w:firstLine="0"/>
              <w:jc w:val="center"/>
            </w:pPr>
            <w:r/>
            <w:r>
              <w:rPr>
                <w:rFonts w:ascii="Times New Roman" w:hAnsi="Times New Roman" w:cs="Times New Roman" w:eastAsia="Times New Roman"/>
                <w:b/>
                <w:i w:val="0"/>
                <w:sz w:val="28"/>
              </w:rPr>
              <w:t>Атрибуты</w:t>
            </w:r>
          </w:p>
        </w:tc>
        <w:tc>
          <w:tcPr>
            <w:tcW w:type="dxa" w:w="3685"/>
            <w:vAlign w:val="center"/>
          </w:tcPr>
          <w:p>
            <w:pPr>
              <w:spacing w:lineRule="auto" w:line="276" w:before="0" w:after="0"/>
              <w:ind w:firstLine="0"/>
              <w:jc w:val="center"/>
            </w:pPr>
            <w:r/>
            <w:r>
              <w:rPr>
                <w:rFonts w:ascii="Times New Roman" w:hAnsi="Times New Roman" w:cs="Times New Roman" w:eastAsia="Times New Roman"/>
                <w:b/>
                <w:i w:val="0"/>
                <w:sz w:val="28"/>
              </w:rPr>
              <w:t>Поддерживаемый запрос</w:t>
            </w:r>
          </w:p>
        </w:tc>
      </w:tr>
      <w:tr>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idx_req_status_prio</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(status_id, priority_id)</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Канбан-доска (группировка по статусу, сортировка по приоритету)</w:t>
            </w:r>
          </w:p>
        </w:tc>
      </w:tr>
      <w:tr>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idx_req_assigned</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(assigned_to)</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Заявки конкретного техника</w:t>
            </w:r>
          </w:p>
        </w:tc>
      </w:tr>
      <w:tr>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idx_req_equipment</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(equipment_id, status_id)</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История заявок по единице оборудования</w:t>
            </w:r>
          </w:p>
        </w:tc>
      </w:tr>
      <w:tr>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idx_req_created_at</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(created_at DESC)</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Лента «свежих» заявок на Dashboard</w:t>
            </w:r>
          </w:p>
        </w:tc>
      </w:tr>
      <w:tr>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idx_hist_request</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(request_id, changed_at)</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Хронология смен статусов</w:t>
            </w:r>
          </w:p>
        </w:tc>
      </w:tr>
      <w:tr>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idx_parts_sku</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spare_parts(sku) UNIQUE</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Поиск запчасти по артикулу</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1.3 — Стратегия индексирования базы данных</w:t>
      </w:r>
    </w:p>
    <w:p>
      <w:pPr>
        <w:spacing w:lineRule="auto" w:line="360" w:before="0" w:after="0"/>
        <w:ind w:firstLine="709"/>
        <w:jc w:val="both"/>
      </w:pPr>
      <w:r>
        <w:rPr>
          <w:rFonts w:ascii="Times New Roman" w:hAnsi="Times New Roman" w:cs="Times New Roman" w:eastAsia="Times New Roman"/>
          <w:b w:val="0"/>
          <w:i w:val="0"/>
          <w:sz w:val="28"/>
        </w:rPr>
        <w:t>При построении составных индексов соблюдается общее правило: первым в индекс выносится атрибут с большей селективностью или с условием равенства, последним — атрибут, по которому выполняется сортировка. Так, в индексе (status_id, priority_id) первое поле выступает фильтром (открытые статусы — приблизительно 30–40% записей), второе используется для упорядочения карточек по убыванию срочности.</w:t>
      </w:r>
    </w:p>
    <w:p>
      <w:pPr>
        <w:spacing w:lineRule="auto" w:line="360" w:before="0" w:after="0"/>
        <w:ind w:firstLine="709"/>
        <w:jc w:val="both"/>
      </w:pPr>
      <w:r>
        <w:rPr>
          <w:rFonts w:ascii="Times New Roman" w:hAnsi="Times New Roman" w:cs="Times New Roman" w:eastAsia="Times New Roman"/>
          <w:b w:val="0"/>
          <w:i w:val="0"/>
          <w:sz w:val="28"/>
        </w:rPr>
        <w:t>Контроль реальной эффективности индексов проведён с помощью команды EXPLAIN QUERY PLAN на тестовом наборе из 5000 заявок и 1500 запчастей. Проверка показала, что для всех четырёх типовых запросов планировщик SQLite выбирает индексный поиск, а не полное сканирование таблицы, что обеспечивает время отклика менее 50 миллисекунд даже при работе через виртуальный канал слабонагруженного контура.</w:t>
      </w:r>
    </w:p>
    <w:p>
      <w:pPr>
        <w:spacing w:lineRule="auto" w:line="360" w:before="240" w:after="160"/>
        <w:ind w:firstLine="0"/>
        <w:jc w:val="left"/>
      </w:pPr>
      <w:r>
        <w:rPr>
          <w:rFonts w:ascii="Times New Roman" w:hAnsi="Times New Roman" w:cs="Times New Roman" w:eastAsia="Times New Roman"/>
          <w:b/>
          <w:i w:val="0"/>
          <w:sz w:val="28"/>
        </w:rPr>
        <w:t>1.12. Двухуровневая защита целостности данных</w:t>
      </w:r>
    </w:p>
    <w:p>
      <w:pPr>
        <w:spacing w:lineRule="auto" w:line="360" w:before="0" w:after="0"/>
        <w:ind w:firstLine="709"/>
        <w:jc w:val="both"/>
      </w:pPr>
      <w:r>
        <w:rPr>
          <w:rFonts w:ascii="Times New Roman" w:hAnsi="Times New Roman" w:cs="Times New Roman" w:eastAsia="Times New Roman"/>
          <w:b w:val="0"/>
          <w:i w:val="0"/>
          <w:sz w:val="28"/>
        </w:rPr>
        <w:t>В разработанной системе реализована двухуровневая стратегия защиты ключевых инвариантов бизнес-логики. Первый уровень — прикладной: REST-обработчики FastAPI выполняют все необходимые проверки до фактического изменения данных, формируют осмысленные сообщения об ошибках и возвращают клиенту понятные HTTP-коды. Второй уровень — серверный (на стороне СУБД): ограничения CHECK, внешние ключи и триггеры обеспечивают резервный «защитный пояс», отклоняющий любую операцию, нарушающую целостность данных.</w:t>
      </w:r>
    </w:p>
    <w:p>
      <w:pPr>
        <w:spacing w:lineRule="auto" w:line="360" w:before="0" w:after="0"/>
        <w:ind w:firstLine="709"/>
        <w:jc w:val="both"/>
      </w:pPr>
      <w:r>
        <w:rPr>
          <w:rFonts w:ascii="Times New Roman" w:hAnsi="Times New Roman" w:cs="Times New Roman" w:eastAsia="Times New Roman"/>
          <w:b w:val="0"/>
          <w:i w:val="0"/>
          <w:sz w:val="28"/>
        </w:rPr>
        <w:t>Целесообразность такого дублирования обоснована практикой: программный код, в особенности при многолетней эксплуатации и поэтапной модернизации системы, неизбежно содержит ошибки и пропуски проверок. Дополнительная защита уровня СУБД гарантирует, что даже разработчик, добавляющий новый модуль и забывший о складских ограничениях, или администратор базы данных, выполняющий ручное обновление через консольного клиента, не сможет перевести систему в физически невозможное состояние (отрицательный остаток детали, отрицательное количество списания, дата закрытия раньше даты создания).</w:t>
      </w:r>
    </w:p>
    <w:p>
      <w:pPr>
        <w:spacing w:lineRule="auto" w:line="360" w:before="0" w:after="0"/>
        <w:ind w:firstLine="709"/>
        <w:jc w:val="both"/>
      </w:pPr>
      <w:r>
        <w:rPr>
          <w:rFonts w:ascii="Times New Roman" w:hAnsi="Times New Roman" w:cs="Times New Roman" w:eastAsia="Times New Roman"/>
          <w:b w:val="0"/>
          <w:i w:val="0"/>
          <w:sz w:val="28"/>
        </w:rPr>
        <w:t>Распределение уровней защиты по типам инвариантов:</w:t>
      </w:r>
    </w:p>
    <w:p>
      <w:pPr>
        <w:spacing w:lineRule="auto" w:line="360" w:before="0" w:after="0"/>
        <w:ind w:left="709" w:hanging="283"/>
        <w:jc w:val="both"/>
      </w:pPr>
      <w:r>
        <w:rPr>
          <w:rFonts w:ascii="Times New Roman" w:hAnsi="Times New Roman" w:cs="Times New Roman" w:eastAsia="Times New Roman"/>
          <w:b w:val="0"/>
          <w:i w:val="0"/>
          <w:sz w:val="28"/>
        </w:rPr>
        <w:t>— корректность типов данных — уровень СУБД (типы столбцов и CHECK на формат);</w:t>
      </w:r>
    </w:p>
    <w:p>
      <w:pPr>
        <w:spacing w:lineRule="auto" w:line="360" w:before="0" w:after="0"/>
        <w:ind w:left="709" w:hanging="283"/>
        <w:jc w:val="both"/>
      </w:pPr>
      <w:r>
        <w:rPr>
          <w:rFonts w:ascii="Times New Roman" w:hAnsi="Times New Roman" w:cs="Times New Roman" w:eastAsia="Times New Roman"/>
          <w:b w:val="0"/>
          <w:i w:val="0"/>
          <w:sz w:val="28"/>
        </w:rPr>
        <w:t>— ссылочная целостность — уровень СУБД (внешние ключи со стратегиями RESTRICT и CASCADE);</w:t>
      </w:r>
    </w:p>
    <w:p>
      <w:pPr>
        <w:spacing w:lineRule="auto" w:line="360" w:before="0" w:after="0"/>
        <w:ind w:left="709" w:hanging="283"/>
        <w:jc w:val="both"/>
      </w:pPr>
      <w:r>
        <w:rPr>
          <w:rFonts w:ascii="Times New Roman" w:hAnsi="Times New Roman" w:cs="Times New Roman" w:eastAsia="Times New Roman"/>
          <w:b w:val="0"/>
          <w:i w:val="0"/>
          <w:sz w:val="28"/>
        </w:rPr>
        <w:t>— доменные ограничения (неотрицательные остатки, минимальная длина заголовка) — уровень СУБД (CHECK);</w:t>
      </w:r>
    </w:p>
    <w:p>
      <w:pPr>
        <w:spacing w:lineRule="auto" w:line="360" w:before="0" w:after="0"/>
        <w:ind w:left="709" w:hanging="283"/>
        <w:jc w:val="both"/>
      </w:pPr>
      <w:r>
        <w:rPr>
          <w:rFonts w:ascii="Times New Roman" w:hAnsi="Times New Roman" w:cs="Times New Roman" w:eastAsia="Times New Roman"/>
          <w:b w:val="0"/>
          <w:i w:val="0"/>
          <w:sz w:val="28"/>
        </w:rPr>
        <w:t>— правила бизнес-процесса (нельзя закрыть уже закрытую заявку) — преимущественно прикладной уровень с понятными сообщениями;</w:t>
      </w:r>
    </w:p>
    <w:p>
      <w:pPr>
        <w:spacing w:lineRule="auto" w:line="360" w:before="0" w:after="0"/>
        <w:ind w:left="709" w:hanging="283"/>
        <w:jc w:val="both"/>
      </w:pPr>
      <w:r>
        <w:rPr>
          <w:rFonts w:ascii="Times New Roman" w:hAnsi="Times New Roman" w:cs="Times New Roman" w:eastAsia="Times New Roman"/>
          <w:b w:val="0"/>
          <w:i w:val="0"/>
          <w:sz w:val="28"/>
        </w:rPr>
        <w:t>— критические бизнес-инварианты (склад не уходит в минус) — оба уровня одновременно.</w:t>
      </w:r>
    </w:p>
    <w:p>
      <w:pPr>
        <w:spacing w:lineRule="auto" w:line="360" w:before="0" w:after="0"/>
        <w:ind w:firstLine="709"/>
        <w:jc w:val="both"/>
      </w:pPr>
      <w:r>
        <w:rPr>
          <w:rFonts w:ascii="Times New Roman" w:hAnsi="Times New Roman" w:cs="Times New Roman" w:eastAsia="Times New Roman"/>
          <w:b w:val="0"/>
          <w:i w:val="0"/>
          <w:sz w:val="28"/>
        </w:rPr>
        <w:t>Триггер trg_parts_no_overdraft является классическим примером «защитного пояса»: даже если прикладной слой по какой-то причине пропустит проверку остатка перед списанием, СУБД выполнит RAISE(ABORT) и принудительно откатит всю транзакцию, не позволяя складу уйти в минус. Стоимость такой защиты — небольшая вычислительная нагрузка на каждое обновление spare_parts.quantity — оправдана надёжностью.</w:t>
      </w:r>
    </w:p>
    <w:p>
      <w:pPr>
        <w:spacing w:lineRule="auto" w:line="360" w:before="240" w:after="160"/>
        <w:ind w:firstLine="0"/>
        <w:jc w:val="left"/>
      </w:pPr>
      <w:r>
        <w:rPr>
          <w:rFonts w:ascii="Times New Roman" w:hAnsi="Times New Roman" w:cs="Times New Roman" w:eastAsia="Times New Roman"/>
          <w:b/>
          <w:i w:val="0"/>
          <w:sz w:val="28"/>
        </w:rPr>
        <w:t>1.13. Перспективные расширения схемы для эксплуатации</w:t>
      </w:r>
    </w:p>
    <w:p>
      <w:pPr>
        <w:spacing w:lineRule="auto" w:line="360" w:before="0" w:after="0"/>
        <w:ind w:firstLine="709"/>
        <w:jc w:val="both"/>
      </w:pPr>
      <w:r>
        <w:rPr>
          <w:rFonts w:ascii="Times New Roman" w:hAnsi="Times New Roman" w:cs="Times New Roman" w:eastAsia="Times New Roman"/>
          <w:b w:val="0"/>
          <w:i w:val="0"/>
          <w:sz w:val="28"/>
        </w:rPr>
        <w:t>Спроектированная схема охватывает оперативный контур управления заявками. По мере развития системы целесообразно поэтапное расширение модели за счёт дополнительных таблиц, охватывающих смежные процессы. Возможные направления миграции схемы перечислены в таблице 1.4 и могут быть реализованы без нарушения обратной совместимости — все новые сущности связываются с действующими через внешние ключи, а существующие запросы продолжают работать без модификации.</w:t>
      </w:r>
    </w:p>
    <w:tbl>
      <w:tblPr>
        <w:tblStyle w:val="TableGrid"/>
        <w:tblW w:type="auto" w:w="0"/>
        <w:jc w:val="center"/>
        <w:tblLook w:firstColumn="1" w:firstRow="1" w:lastColumn="0" w:lastRow="0" w:noHBand="0" w:noVBand="1" w:val="04A0"/>
      </w:tblPr>
      <w:tblGrid>
        <w:gridCol w:w="3324"/>
        <w:gridCol w:w="3324"/>
        <w:gridCol w:w="3324"/>
      </w:tblGrid>
      <w:tr>
        <w:tc>
          <w:tcPr>
            <w:tcW w:type="dxa" w:w="1984"/>
            <w:vAlign w:val="center"/>
          </w:tcPr>
          <w:p>
            <w:pPr>
              <w:spacing w:lineRule="auto" w:line="276" w:before="0" w:after="0"/>
              <w:ind w:firstLine="0"/>
              <w:jc w:val="center"/>
            </w:pPr>
            <w:r/>
            <w:r>
              <w:rPr>
                <w:rFonts w:ascii="Times New Roman" w:hAnsi="Times New Roman" w:cs="Times New Roman" w:eastAsia="Times New Roman"/>
                <w:b/>
                <w:i w:val="0"/>
                <w:sz w:val="28"/>
              </w:rPr>
              <w:t>Сущность</w:t>
            </w:r>
          </w:p>
        </w:tc>
        <w:tc>
          <w:tcPr>
            <w:tcW w:type="dxa" w:w="3969"/>
            <w:vAlign w:val="center"/>
          </w:tcPr>
          <w:p>
            <w:pPr>
              <w:spacing w:lineRule="auto" w:line="276" w:before="0" w:after="0"/>
              <w:ind w:firstLine="0"/>
              <w:jc w:val="center"/>
            </w:pPr>
            <w:r/>
            <w:r>
              <w:rPr>
                <w:rFonts w:ascii="Times New Roman" w:hAnsi="Times New Roman" w:cs="Times New Roman" w:eastAsia="Times New Roman"/>
                <w:b/>
                <w:i w:val="0"/>
                <w:sz w:val="28"/>
              </w:rPr>
              <w:t>Назначение</w:t>
            </w:r>
          </w:p>
        </w:tc>
        <w:tc>
          <w:tcPr>
            <w:tcW w:type="dxa" w:w="2835"/>
            <w:vAlign w:val="center"/>
          </w:tcPr>
          <w:p>
            <w:pPr>
              <w:spacing w:lineRule="auto" w:line="276" w:before="0" w:after="0"/>
              <w:ind w:firstLine="0"/>
              <w:jc w:val="center"/>
            </w:pPr>
            <w:r/>
            <w:r>
              <w:rPr>
                <w:rFonts w:ascii="Times New Roman" w:hAnsi="Times New Roman" w:cs="Times New Roman" w:eastAsia="Times New Roman"/>
                <w:b/>
                <w:i w:val="0"/>
                <w:sz w:val="28"/>
              </w:rPr>
              <w:t>Связь с действующей схемой</w:t>
            </w:r>
          </w:p>
        </w:tc>
      </w:tr>
      <w:tr>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work_orders</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Наряд-задание (один наряд может объединять несколько заявок одного техника)</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1 → * maintenance_requests</w:t>
            </w:r>
          </w:p>
        </w:tc>
      </w:tr>
      <w:tr>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planned_maintenance</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Регламентные ТО по календарю / наработке</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 → equipment, генерирует maintenance_requests</w:t>
            </w:r>
          </w:p>
        </w:tc>
      </w:tr>
      <w:tr>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equipment_runtime</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Журнал наработки оборудования (для критерия по моточасам)</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 → equipment, источник для planned_maintenance</w:t>
            </w:r>
          </w:p>
        </w:tc>
      </w:tr>
      <w:tr>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kpi_daily_snapshots</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Ежедневные срезы KPI (MTBF, MTTR, OEE) — материализованные агрегаты</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Агрегат по maintenance_requests</w:t>
            </w:r>
          </w:p>
        </w:tc>
      </w:tr>
      <w:tr>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parts_movements</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Движение запчастей: поступления, перемещения, инвентаризация</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 → spare_parts</w:t>
            </w:r>
          </w:p>
        </w:tc>
      </w:tr>
      <w:tr>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external_contractors</w:t>
            </w:r>
          </w:p>
        </w:tc>
        <w:tc>
          <w:tcPr>
            <w:tcW w:type="dxa" w:w="3969"/>
            <w:vAlign w:val="center"/>
          </w:tcPr>
          <w:p>
            <w:pPr>
              <w:spacing w:lineRule="auto" w:line="276" w:before="0" w:after="0"/>
              <w:ind w:firstLine="0"/>
              <w:jc w:val="left"/>
            </w:pPr>
            <w:r/>
            <w:r>
              <w:rPr>
                <w:rFonts w:ascii="Times New Roman" w:hAnsi="Times New Roman" w:cs="Times New Roman" w:eastAsia="Times New Roman"/>
                <w:b w:val="0"/>
                <w:i w:val="0"/>
                <w:sz w:val="28"/>
              </w:rPr>
              <w:t>Подрядчики на гарантийное обслуживание сложных узлов</w:t>
            </w:r>
          </w:p>
        </w:tc>
        <w:tc>
          <w:tcPr>
            <w:tcW w:type="dxa" w:w="2835"/>
            <w:vAlign w:val="center"/>
          </w:tcPr>
          <w:p>
            <w:pPr>
              <w:spacing w:lineRule="auto" w:line="276" w:before="0" w:after="0"/>
              <w:ind w:firstLine="0"/>
              <w:jc w:val="left"/>
            </w:pPr>
            <w:r/>
            <w:r>
              <w:rPr>
                <w:rFonts w:ascii="Times New Roman" w:hAnsi="Times New Roman" w:cs="Times New Roman" w:eastAsia="Times New Roman"/>
                <w:b w:val="0"/>
                <w:i w:val="0"/>
                <w:sz w:val="28"/>
              </w:rPr>
              <w:t>* → maintenance_requests</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1.4 — Перспективные расширения схемы</w:t>
      </w:r>
    </w:p>
    <w:p>
      <w:pPr>
        <w:spacing w:lineRule="auto" w:line="360" w:before="0" w:after="0"/>
        <w:ind w:firstLine="709"/>
        <w:jc w:val="both"/>
      </w:pPr>
      <w:r>
        <w:rPr>
          <w:rFonts w:ascii="Times New Roman" w:hAnsi="Times New Roman" w:cs="Times New Roman" w:eastAsia="Times New Roman"/>
          <w:b w:val="0"/>
          <w:i w:val="0"/>
          <w:sz w:val="28"/>
        </w:rPr>
        <w:t>Особо отметим, что благодаря строгой 3НФ-нормализации и отсутствию дублирования информации схема легко поддаётся горизонтальному расширению. Любые KPI-агрегаты могут вычисляться либо «на лету» через представления (VIEW), либо материализоваться в kpi_daily_snapshots для тяжёлых отчётов; такое решение принимается в зависимости от характеристик нагрузки и не влечёт изменения исходных оперативных таблиц.</w:t>
      </w:r>
    </w:p>
    <w:p>
      <w:pPr>
        <w:spacing w:lineRule="auto" w:line="360" w:before="240" w:after="160"/>
        <w:ind w:firstLine="0"/>
        <w:jc w:val="left"/>
      </w:pPr>
      <w:r>
        <w:rPr>
          <w:rFonts w:ascii="Times New Roman" w:hAnsi="Times New Roman" w:cs="Times New Roman" w:eastAsia="Times New Roman"/>
          <w:b/>
          <w:i w:val="0"/>
          <w:sz w:val="28"/>
        </w:rPr>
        <w:t>1.14. Выводы по разделу</w:t>
      </w:r>
    </w:p>
    <w:p>
      <w:pPr>
        <w:spacing w:lineRule="auto" w:line="360" w:before="0" w:after="0"/>
        <w:ind w:firstLine="709"/>
        <w:jc w:val="both"/>
      </w:pPr>
      <w:r>
        <w:rPr>
          <w:rFonts w:ascii="Times New Roman" w:hAnsi="Times New Roman" w:cs="Times New Roman" w:eastAsia="Times New Roman"/>
          <w:b w:val="0"/>
          <w:i w:val="0"/>
          <w:sz w:val="28"/>
        </w:rPr>
        <w:t>В первом разделе автором выделены одиннадцать сущностей предметной области; последовательно проведена нормализация модели до третьей нормальной формы с обоснованием каждого шага декомпозиции; разработан DDL-скрипт развёртывания в SQLite, включающий ограничения целостности (CHECK-проверки корректности дат и неотрицательности остатков) и два триггера бизнес-логики — автоматический аудит смен статусов и защита от отрицательного остатка на складе. Дополнительно обоснованы архитектурные решения: разделение текущей и исторической цены запчасти для финансовой достоверности, реализация неизменяемого аудит-журнала, стратегия индексирования под типовые запросы диспетчера, двухуровневая защита целостности и направления перспективного расширения схемы.</w:t>
      </w:r>
    </w:p>
    <w:p>
      <w:r>
        <w:br w:type="page"/>
      </w:r>
    </w:p>
    <w:p>
      <w:pPr>
        <w:spacing w:lineRule="auto" w:line="360" w:before="0" w:after="360"/>
        <w:ind w:firstLine="0"/>
        <w:jc w:val="center"/>
      </w:pPr>
      <w:r>
        <w:rPr>
          <w:rFonts w:ascii="Times New Roman" w:hAnsi="Times New Roman" w:cs="Times New Roman" w:eastAsia="Times New Roman"/>
          <w:b/>
          <w:i w:val="0"/>
          <w:sz w:val="28"/>
        </w:rPr>
        <w:t>2. ПРОГРАММНАЯ РЕАЛИЗАЦИЯ СЕРВЕРНОЙ ЧАСТИ</w:t>
      </w:r>
    </w:p>
    <w:p>
      <w:pPr>
        <w:spacing w:lineRule="auto" w:line="360" w:before="240" w:after="160"/>
        <w:ind w:firstLine="0"/>
        <w:jc w:val="left"/>
      </w:pPr>
      <w:r>
        <w:rPr>
          <w:rFonts w:ascii="Times New Roman" w:hAnsi="Times New Roman" w:cs="Times New Roman" w:eastAsia="Times New Roman"/>
          <w:b/>
          <w:i w:val="0"/>
          <w:sz w:val="28"/>
        </w:rPr>
        <w:t>2.1. Обоснование выбора инструментальных средств</w:t>
      </w:r>
    </w:p>
    <w:p>
      <w:pPr>
        <w:spacing w:lineRule="auto" w:line="360" w:before="0" w:after="0"/>
        <w:ind w:firstLine="709"/>
        <w:jc w:val="both"/>
      </w:pPr>
      <w:r>
        <w:rPr>
          <w:rFonts w:ascii="Times New Roman" w:hAnsi="Times New Roman" w:cs="Times New Roman" w:eastAsia="Times New Roman"/>
          <w:b w:val="0"/>
          <w:i w:val="0"/>
          <w:sz w:val="28"/>
        </w:rPr>
        <w:t>Для реализации серверной части автором выбран язык программирования Python версии 3.10+ и фреймворк FastAPI 0.115. Выбор обусловлен совокупностью факторов: высокой производительностью на основе ASGI-сервера Uvicorn; автоматической генерацией интерактивной OpenAPI-документации; декларативным механизмом валидации входных данных Pydantic 2.x; широким распространением стека в учебной и промышленной разработке. В качестве СУБД использована встроенная база данных SQLite, обращение к которой выполняется через стандартный модуль sqlite3 без использования ORM — такое решение обеспечивает прозрачное понимание выполняющихся SQL-запросов, что особенно ценно при анализе корректности нормализации.</w:t>
      </w:r>
    </w:p>
    <w:p>
      <w:pPr>
        <w:spacing w:lineRule="auto" w:line="360" w:before="0" w:after="0"/>
        <w:ind w:firstLine="709"/>
        <w:jc w:val="both"/>
      </w:pPr>
      <w:r>
        <w:rPr>
          <w:rFonts w:ascii="Times New Roman" w:hAnsi="Times New Roman" w:cs="Times New Roman" w:eastAsia="Times New Roman"/>
          <w:b w:val="0"/>
          <w:i w:val="0"/>
          <w:sz w:val="28"/>
        </w:rPr>
        <w:t>Архитектурный стиль REST (Representational State Transfer), сформулированный Р. Филдингом в диссертации 2000 года, положен в основу всех серверных интерфейсов системы. Применительно к учёту заявок принципы REST реализуются следующим образом. Принцип ресурсной ориентации (resource orientation) означает, что каждая значимая сущность предметной области — заявка, единица оборудования, запчасть, сотрудник — представлена самостоятельным URL и набором стандартных HTTP-методов. Принцип использования стандартных методов протокола HTTP проявлен в том, что GET применяется для чтения, POST — для создания, PUT — для полного обновления, DELETE — для удаления; в свою очередь, бизнес-операции (назначение, смена статуса, закрытие) оформлены как подчинённые ресурсы (/assign, /status, /complete) с глаголом POST, что соответствует рекомендации Филдинга «глагол в URL — признак RPC, а не REST».</w:t>
      </w:r>
    </w:p>
    <w:p>
      <w:pPr>
        <w:spacing w:lineRule="auto" w:line="360" w:before="0" w:after="0"/>
        <w:ind w:firstLine="709"/>
        <w:jc w:val="both"/>
      </w:pPr>
      <w:r>
        <w:rPr>
          <w:rFonts w:ascii="Times New Roman" w:hAnsi="Times New Roman" w:cs="Times New Roman" w:eastAsia="Times New Roman"/>
          <w:b w:val="0"/>
          <w:i w:val="0"/>
          <w:sz w:val="28"/>
        </w:rPr>
        <w:t>Принцип отсутствия состояния (statelessness) означает, что каждый запрос диспетчера к серверу самодостаточен и не требует серверной сессии, привязанной к конкретному пользователю. Это упрощает горизонтальное масштабирование (любой экземпляр сервера может обслужить запрос) и повышает надёжность (отказ одного процесса не приводит к потере «контекста» пользователя). Принцип единообразного интерфейса (uniform interface) обеспечивается строгой консистентностью названий полей JSON, форматов временных меток (ISO 8601) и кодов ошибок во всём API.</w:t>
      </w:r>
    </w:p>
    <w:p>
      <w:pPr>
        <w:spacing w:lineRule="auto" w:line="360" w:before="0" w:after="0"/>
        <w:ind w:firstLine="709"/>
        <w:jc w:val="both"/>
      </w:pPr>
      <w:r>
        <w:rPr>
          <w:rFonts w:ascii="Times New Roman" w:hAnsi="Times New Roman" w:cs="Times New Roman" w:eastAsia="Times New Roman"/>
          <w:b w:val="0"/>
          <w:i w:val="0"/>
          <w:sz w:val="28"/>
        </w:rPr>
        <w:t>Принцип Hypermedia as the Engine of Application State (HATEOAS), наиболее строгая ступень REST, в полной мере не реализован — каждый ответ не содержит ссылок на доступные следующие действия. Принятое автором практическое отступление от теории объясняется тем, что клиент диспетчера известен заранее и тесно связан с сервером; полноценный HATEOAS оправдан в распределённых системах с независимыми клиентами и в контексте учебной работы оказался бы избыточным усложнением.</w:t>
      </w:r>
    </w:p>
    <w:p>
      <w:pPr>
        <w:spacing w:lineRule="auto" w:line="360" w:before="240" w:after="160"/>
        <w:ind w:firstLine="0"/>
        <w:jc w:val="left"/>
      </w:pPr>
      <w:r>
        <w:rPr>
          <w:rFonts w:ascii="Times New Roman" w:hAnsi="Times New Roman" w:cs="Times New Roman" w:eastAsia="Times New Roman"/>
          <w:b/>
          <w:i w:val="0"/>
          <w:sz w:val="28"/>
        </w:rPr>
        <w:t>2.2. Архитектура серверного приложения</w:t>
      </w:r>
    </w:p>
    <w:p>
      <w:pPr>
        <w:spacing w:lineRule="auto" w:line="360" w:before="0" w:after="0"/>
        <w:ind w:firstLine="709"/>
        <w:jc w:val="both"/>
      </w:pPr>
      <w:r>
        <w:rPr>
          <w:rFonts w:ascii="Times New Roman" w:hAnsi="Times New Roman" w:cs="Times New Roman" w:eastAsia="Times New Roman"/>
          <w:b w:val="0"/>
          <w:i w:val="0"/>
          <w:sz w:val="28"/>
        </w:rPr>
        <w:t>Серверная часть организована по слоистой архитектуре. На нижнем уровне находится модуль database.py, отвечающий за создание подключения к SQLite, выполнение PRAGMA-настроек и применение схемы. Над ним расположен слой бизнес-логики, реализованный в виде четырёх роутеров FastAPI: reference_router (справочники), equipment_router (оборудование и фильтр критических неисправностей), parts_router (склад запчастей с корректировкой остатков) и requests_router (CRUD-операции над заявками и ключевой алгоритм закрытия). Главный модуль main.py объединяет роутеры в единое приложение и подключает статические файлы клиентской части по адресу /static.</w:t>
      </w:r>
    </w:p>
    <w:p>
      <w:pPr>
        <w:spacing w:lineRule="auto" w:line="360" w:before="160" w:after="160"/>
        <w:ind w:firstLine="0"/>
        <w:jc w:val="center"/>
      </w:pPr>
      <w:r>
        <w:rPr>
          <w:rFonts w:ascii="Times New Roman" w:hAnsi="Times New Roman" w:cs="Times New Roman" w:eastAsia="Times New Roman"/>
          <w:b w:val="0"/>
          <w:i/>
          <w:color w:val="333333"/>
          <w:sz w:val="28"/>
        </w:rPr>
        <w:t>{Скриншот: Структура каталогов проекта maintenance_requests с подсветкой backend/, frontend/, scripts/}</w:t>
      </w:r>
    </w:p>
    <w:p>
      <w:pPr>
        <w:spacing w:lineRule="auto" w:line="360" w:before="0" w:after="240"/>
        <w:ind w:firstLine="0"/>
        <w:jc w:val="center"/>
      </w:pPr>
      <w:r>
        <w:rPr>
          <w:rFonts w:ascii="Times New Roman" w:hAnsi="Times New Roman" w:cs="Times New Roman" w:eastAsia="Times New Roman"/>
          <w:b w:val="0"/>
          <w:i w:val="0"/>
          <w:sz w:val="28"/>
        </w:rPr>
        <w:t>Рисунок 2.1 — Структура каталогов проекта</w:t>
      </w:r>
    </w:p>
    <w:p>
      <w:pPr>
        <w:spacing w:lineRule="auto" w:line="360" w:before="240" w:after="160"/>
        <w:ind w:firstLine="0"/>
        <w:jc w:val="left"/>
      </w:pPr>
      <w:r>
        <w:rPr>
          <w:rFonts w:ascii="Times New Roman" w:hAnsi="Times New Roman" w:cs="Times New Roman" w:eastAsia="Times New Roman"/>
          <w:b/>
          <w:i w:val="0"/>
          <w:sz w:val="28"/>
        </w:rPr>
        <w:t>2.3. CRUD-эндпоинты для заявок и оборудования</w:t>
      </w:r>
    </w:p>
    <w:p>
      <w:pPr>
        <w:spacing w:lineRule="auto" w:line="360" w:before="0" w:after="0"/>
        <w:ind w:firstLine="709"/>
        <w:jc w:val="both"/>
      </w:pPr>
      <w:r>
        <w:rPr>
          <w:rFonts w:ascii="Times New Roman" w:hAnsi="Times New Roman" w:cs="Times New Roman" w:eastAsia="Times New Roman"/>
          <w:b w:val="0"/>
          <w:i w:val="0"/>
          <w:sz w:val="28"/>
        </w:rPr>
        <w:t>В системе реализованы следующие REST-эндпоинты:</w:t>
      </w:r>
    </w:p>
    <w:tbl>
      <w:tblPr>
        <w:tblStyle w:val="TableGrid"/>
        <w:tblW w:type="auto" w:w="0"/>
        <w:jc w:val="center"/>
        <w:tblLook w:firstColumn="1" w:firstRow="1" w:lastColumn="0" w:lastRow="0" w:noHBand="0" w:noVBand="1" w:val="04A0"/>
      </w:tblPr>
      <w:tblGrid>
        <w:gridCol w:w="3324"/>
        <w:gridCol w:w="3324"/>
        <w:gridCol w:w="3324"/>
      </w:tblGrid>
      <w:tr>
        <w:tc>
          <w:tcPr>
            <w:tcW w:type="dxa" w:w="3118"/>
            <w:vAlign w:val="center"/>
          </w:tcPr>
          <w:p>
            <w:pPr>
              <w:spacing w:lineRule="auto" w:line="276" w:before="0" w:after="0"/>
              <w:ind w:firstLine="0"/>
              <w:jc w:val="center"/>
            </w:pPr>
            <w:r/>
            <w:r>
              <w:rPr>
                <w:rFonts w:ascii="Times New Roman" w:hAnsi="Times New Roman" w:cs="Times New Roman" w:eastAsia="Times New Roman"/>
                <w:b/>
                <w:i w:val="0"/>
                <w:sz w:val="28"/>
              </w:rPr>
              <w:t>Маршрут</w:t>
            </w:r>
          </w:p>
        </w:tc>
        <w:tc>
          <w:tcPr>
            <w:tcW w:type="dxa" w:w="1417"/>
            <w:vAlign w:val="center"/>
          </w:tcPr>
          <w:p>
            <w:pPr>
              <w:spacing w:lineRule="auto" w:line="276" w:before="0" w:after="0"/>
              <w:ind w:firstLine="0"/>
              <w:jc w:val="center"/>
            </w:pPr>
            <w:r/>
            <w:r>
              <w:rPr>
                <w:rFonts w:ascii="Times New Roman" w:hAnsi="Times New Roman" w:cs="Times New Roman" w:eastAsia="Times New Roman"/>
                <w:b/>
                <w:i w:val="0"/>
                <w:sz w:val="28"/>
              </w:rPr>
              <w:t>Метод</w:t>
            </w:r>
          </w:p>
        </w:tc>
        <w:tc>
          <w:tcPr>
            <w:tcW w:type="dxa" w:w="4535"/>
            <w:vAlign w:val="center"/>
          </w:tcPr>
          <w:p>
            <w:pPr>
              <w:spacing w:lineRule="auto" w:line="276" w:before="0" w:after="0"/>
              <w:ind w:firstLine="0"/>
              <w:jc w:val="center"/>
            </w:pPr>
            <w:r/>
            <w:r>
              <w:rPr>
                <w:rFonts w:ascii="Times New Roman" w:hAnsi="Times New Roman" w:cs="Times New Roman" w:eastAsia="Times New Roman"/>
                <w:b/>
                <w:i w:val="0"/>
                <w:sz w:val="28"/>
              </w:rPr>
              <w:t>Назначение</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/api/requests</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GET</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Список заявок с фильтрами</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/api/requests</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POST</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Регистрация новой заявки</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/api/requests/{id}</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GET, PUT, DELETE</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Карточка заявки</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/api/requests/{id}/assign</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POST</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Назначение исполнителя</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/api/requests/{id}/status</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POST</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Смена статуса</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/api/requests/{id}/complete</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POST</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Закрытие со списанием запчастей</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/api/requests/{id}/history</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GET</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Журнал смен статусов</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/api/equipment</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GET</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Каталог оборудования</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/api/equipment/critical</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GET</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Оборудование с открытыми критическими заявками</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/api/parts</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GET, POST</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Склад запчастей</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/api/parts/{id}/adjust</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POST</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Корректировка остатка</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/api/priorities, /statuses, /staff</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GET</w:t>
            </w:r>
          </w:p>
        </w:tc>
        <w:tc>
          <w:tcPr>
            <w:tcW w:type="dxa" w:w="4535"/>
            <w:vAlign w:val="center"/>
          </w:tcPr>
          <w:p>
            <w:pPr>
              <w:spacing w:lineRule="auto" w:line="276" w:before="0" w:after="0"/>
              <w:ind w:firstLine="0"/>
              <w:jc w:val="left"/>
            </w:pPr>
            <w:r/>
            <w:r>
              <w:rPr>
                <w:rFonts w:ascii="Times New Roman" w:hAnsi="Times New Roman" w:cs="Times New Roman" w:eastAsia="Times New Roman"/>
                <w:b w:val="0"/>
                <w:i w:val="0"/>
                <w:sz w:val="28"/>
              </w:rPr>
              <w:t>Справочники</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2.1 — Перечень REST-эндпоинтов</w:t>
      </w:r>
    </w:p>
    <w:p>
      <w:pPr>
        <w:spacing w:lineRule="auto" w:line="360" w:before="0" w:after="0"/>
        <w:ind w:firstLine="709"/>
        <w:jc w:val="both"/>
      </w:pPr>
      <w:r>
        <w:rPr>
          <w:rFonts w:ascii="Times New Roman" w:hAnsi="Times New Roman" w:cs="Times New Roman" w:eastAsia="Times New Roman"/>
          <w:b w:val="0"/>
          <w:i w:val="0"/>
          <w:sz w:val="28"/>
        </w:rPr>
        <w:t>Фильтрация заявок поддерживается тремя независимыми параметрами строки запроса: priority (код приоритета), status (код статуса), assigned_to (идентификатор исполнителя). Опциональный флаг open_only=true сокращает выборку до незакрытых заявок и используется на канбан-доске. Эндпоинт /api/equipment/critical отдельно выделяет оборудование, по которому имеются открытые заявки с приоритетом «Критический» — это основа для блока тревожных карточек на главном экране диспетчера.</w:t>
      </w:r>
    </w:p>
    <w:p>
      <w:pPr>
        <w:spacing w:lineRule="auto" w:line="360" w:before="240" w:after="160"/>
        <w:ind w:firstLine="0"/>
        <w:jc w:val="left"/>
      </w:pPr>
      <w:r>
        <w:rPr>
          <w:rFonts w:ascii="Times New Roman" w:hAnsi="Times New Roman" w:cs="Times New Roman" w:eastAsia="Times New Roman"/>
          <w:b/>
          <w:i w:val="0"/>
          <w:sz w:val="28"/>
        </w:rPr>
        <w:t>2.4. Алгоритм закрытия заявки со списанием запчастей</w:t>
      </w:r>
    </w:p>
    <w:p>
      <w:pPr>
        <w:spacing w:lineRule="auto" w:line="360" w:before="0" w:after="0"/>
        <w:ind w:firstLine="709"/>
        <w:jc w:val="both"/>
      </w:pPr>
      <w:r>
        <w:rPr>
          <w:rFonts w:ascii="Times New Roman" w:hAnsi="Times New Roman" w:cs="Times New Roman" w:eastAsia="Times New Roman"/>
          <w:b w:val="0"/>
          <w:i w:val="0"/>
          <w:sz w:val="28"/>
        </w:rPr>
        <w:t>Ключевым бизнес-алгоритмом серверной части является процедура перевода заявки в статус «Выполнена» с одновременным списанием использованных запчастей со склада. Алгоритм реализован в эндпоинте POST /api/requests/{id}/complete и состоит из следующих последовательных шагов.</w:t>
      </w:r>
    </w:p>
    <w:p>
      <w:pPr>
        <w:spacing w:lineRule="auto" w:line="360" w:before="0" w:after="0"/>
        <w:ind w:firstLine="0"/>
        <w:jc w:val="both"/>
      </w:pPr>
      <w:r>
        <w:rPr>
          <w:rFonts w:ascii="Times New Roman" w:hAnsi="Times New Roman" w:cs="Times New Roman" w:eastAsia="Times New Roman"/>
          <w:b w:val="0"/>
          <w:i w:val="0"/>
          <w:sz w:val="28"/>
        </w:rPr>
        <w:t>1. Извлечение заявки по идентификатору с JOIN на request_statuses; при отсутствии — возврат HTTP 404. Если статус заявки уже закрытый (is_closed = 1) — возврат HTTP 400 «Заявка уже закрыта».</w:t>
      </w:r>
    </w:p>
    <w:p>
      <w:pPr>
        <w:spacing w:lineRule="auto" w:line="360" w:before="0" w:after="0"/>
        <w:ind w:firstLine="0"/>
        <w:jc w:val="both"/>
      </w:pPr>
      <w:r>
        <w:rPr>
          <w:rFonts w:ascii="Times New Roman" w:hAnsi="Times New Roman" w:cs="Times New Roman" w:eastAsia="Times New Roman"/>
          <w:b w:val="0"/>
          <w:i w:val="0"/>
          <w:sz w:val="28"/>
        </w:rPr>
        <w:t>2. Загрузка актуальных данных для каждой затребованной запчасти из таблицы spare_parts (артикул, наименование, текущий остаток, текущая цена).</w:t>
      </w:r>
    </w:p>
    <w:p>
      <w:pPr>
        <w:spacing w:lineRule="auto" w:line="360" w:before="0" w:after="0"/>
        <w:ind w:firstLine="0"/>
        <w:jc w:val="both"/>
      </w:pPr>
      <w:r>
        <w:rPr>
          <w:rFonts w:ascii="Times New Roman" w:hAnsi="Times New Roman" w:cs="Times New Roman" w:eastAsia="Times New Roman"/>
          <w:b w:val="0"/>
          <w:i w:val="0"/>
          <w:sz w:val="28"/>
        </w:rPr>
        <w:t>3. Проверка достаточности остатка по КАЖДОЙ позиции технологической карты. Если хотя бы одной детали не хватает — немедленный отказ HTTP 400 с указанием конкретной запчасти, требуемого количества и фактического остатка. Принципиально, что отказ происходит ДО внесения каких-либо изменений в базу — это гарантирует, что заявка не останется в полусписанном состоянии.</w:t>
      </w:r>
    </w:p>
    <w:p>
      <w:pPr>
        <w:spacing w:lineRule="auto" w:line="360" w:before="0" w:after="0"/>
        <w:ind w:firstLine="0"/>
        <w:jc w:val="both"/>
      </w:pPr>
      <w:r>
        <w:rPr>
          <w:rFonts w:ascii="Times New Roman" w:hAnsi="Times New Roman" w:cs="Times New Roman" w:eastAsia="Times New Roman"/>
          <w:b w:val="0"/>
          <w:i w:val="0"/>
          <w:sz w:val="28"/>
        </w:rPr>
        <w:t>4. Если все проверки пройдены, для каждой запчасти выполняются две атомарные операции: вставка строки в request_parts с фиксацией исторической цены unit_price_at_use; уменьшение текущего остатка spare_parts.quantity на соответствующее количество.</w:t>
      </w:r>
    </w:p>
    <w:p>
      <w:pPr>
        <w:spacing w:lineRule="auto" w:line="360" w:before="0" w:after="0"/>
        <w:ind w:firstLine="0"/>
        <w:jc w:val="both"/>
      </w:pPr>
      <w:r>
        <w:rPr>
          <w:rFonts w:ascii="Times New Roman" w:hAnsi="Times New Roman" w:cs="Times New Roman" w:eastAsia="Times New Roman"/>
          <w:b w:val="0"/>
          <w:i w:val="0"/>
          <w:sz w:val="28"/>
        </w:rPr>
        <w:t>5. Перевод заявки в статус 'done', установка closed_at = CURRENT_TIMESTAMP и сохранение комментария мастера в поле completion_note.</w:t>
      </w:r>
    </w:p>
    <w:p>
      <w:pPr>
        <w:spacing w:lineRule="auto" w:line="360" w:before="0" w:after="0"/>
        <w:ind w:firstLine="0"/>
        <w:jc w:val="both"/>
      </w:pPr>
      <w:r>
        <w:rPr>
          <w:rFonts w:ascii="Times New Roman" w:hAnsi="Times New Roman" w:cs="Times New Roman" w:eastAsia="Times New Roman"/>
          <w:b w:val="0"/>
          <w:i w:val="0"/>
          <w:sz w:val="28"/>
        </w:rPr>
        <w:t>6. Триггер БД trg_request_status_audit автоматически фиксирует смену статуса в request_status_history без явного участия прикладного слоя.</w:t>
      </w:r>
    </w:p>
    <w:p>
      <w:pPr>
        <w:spacing w:lineRule="auto" w:line="360" w:before="0" w:after="0"/>
        <w:ind w:firstLine="0"/>
        <w:jc w:val="both"/>
      </w:pPr>
      <w:r>
        <w:rPr>
          <w:rFonts w:ascii="Times New Roman" w:hAnsi="Times New Roman" w:cs="Times New Roman" w:eastAsia="Times New Roman"/>
          <w:b w:val="0"/>
          <w:i w:val="0"/>
          <w:sz w:val="28"/>
        </w:rPr>
        <w:t>7. Возврат клиенту обновлённой заявки в формате JSON, содержащей полный список списанных запчастей с их историческими ценами и итоговой стоимостью ремонта.</w:t>
      </w:r>
    </w:p>
    <w:p>
      <w:pPr>
        <w:spacing w:lineRule="auto" w:line="360" w:before="160" w:after="160"/>
        <w:ind w:firstLine="0"/>
        <w:jc w:val="center"/>
      </w:pPr>
      <w:r>
        <w:rPr>
          <w:rFonts w:ascii="Times New Roman" w:hAnsi="Times New Roman" w:cs="Times New Roman" w:eastAsia="Times New Roman"/>
          <w:b w:val="0"/>
          <w:i/>
          <w:color w:val="333333"/>
          <w:sz w:val="28"/>
        </w:rPr>
        <w:t>{Скриншот: Модальное окно карточки заявки в веб-приложении с формой закрытия: выбор запчастей, количество, комментарий мастера и кнопка «Закрыть заявку»}</w:t>
      </w:r>
    </w:p>
    <w:p>
      <w:pPr>
        <w:spacing w:lineRule="auto" w:line="360" w:before="0" w:after="240"/>
        <w:ind w:firstLine="0"/>
        <w:jc w:val="center"/>
      </w:pPr>
      <w:r>
        <w:rPr>
          <w:rFonts w:ascii="Times New Roman" w:hAnsi="Times New Roman" w:cs="Times New Roman" w:eastAsia="Times New Roman"/>
          <w:b w:val="0"/>
          <w:i w:val="0"/>
          <w:sz w:val="28"/>
        </w:rPr>
        <w:t>Рисунок 2.2 — Интерфейс закрытия заявки</w:t>
      </w:r>
    </w:p>
    <w:p>
      <w:pPr>
        <w:spacing w:lineRule="auto" w:line="276" w:before="80" w:after="160"/>
        <w:ind w:firstLine="0"/>
        <w:jc w:val="left"/>
      </w:pPr>
      <w:r>
        <w:rPr>
          <w:rFonts w:ascii="Courier New" w:hAnsi="Courier New" w:cs="Courier New"/>
          <w:sz w:val="22"/>
        </w:rPr>
        <w:t># Фрагмент: проверка ДО списания</w:t>
        <w:br/>
        <w:t>for line in parts_used:</w:t>
        <w:br/>
        <w:t xml:space="preserve">    cur.execute('SELECT id, sku, name, quantity FROM spare_parts WHERE id = ?',</w:t>
        <w:br/>
        <w:t xml:space="preserve">                (line.part_id,))</w:t>
        <w:br/>
        <w:t xml:space="preserve">    sp = cur.fetchone()</w:t>
        <w:br/>
        <w:t xml:space="preserve">    if sp is None:</w:t>
        <w:br/>
        <w:t xml:space="preserve">        raise HTTPException(400, f'Запчасть #{line.part_id} не найдена')</w:t>
        <w:br/>
        <w:t xml:space="preserve">    if sp['quantity'] &lt; line.quantity:</w:t>
        <w:br/>
        <w:t xml:space="preserve">        raise HTTPException(400,</w:t>
        <w:br/>
        <w:t xml:space="preserve">            f'Недостаточно «{sp["name"]}» ({sp["sku"]}): '</w:t>
        <w:br/>
        <w:t xml:space="preserve">            f'требуется {line.quantity}, доступно {sp["quantity"]}')</w:t>
      </w:r>
    </w:p>
    <w:p>
      <w:pPr>
        <w:spacing w:lineRule="auto" w:line="360" w:before="240" w:after="160"/>
        <w:ind w:firstLine="0"/>
        <w:jc w:val="left"/>
      </w:pPr>
      <w:r>
        <w:rPr>
          <w:rFonts w:ascii="Times New Roman" w:hAnsi="Times New Roman" w:cs="Times New Roman" w:eastAsia="Times New Roman"/>
          <w:b/>
          <w:i w:val="0"/>
          <w:sz w:val="28"/>
        </w:rPr>
        <w:t>2.5. Транзакционная целостность операций</w:t>
      </w:r>
    </w:p>
    <w:p>
      <w:pPr>
        <w:spacing w:lineRule="auto" w:line="360" w:before="0" w:after="0"/>
        <w:ind w:firstLine="709"/>
        <w:jc w:val="both"/>
      </w:pPr>
      <w:r>
        <w:rPr>
          <w:rFonts w:ascii="Times New Roman" w:hAnsi="Times New Roman" w:cs="Times New Roman" w:eastAsia="Times New Roman"/>
          <w:b w:val="0"/>
          <w:i w:val="0"/>
          <w:sz w:val="28"/>
        </w:rPr>
        <w:t>Все шаги алгоритма закрытия выполняются в рамках единого транзакционного контекста, организованного контекстным менеджером db_cursor(commit=True). При возникновении любого исключения внутри блока контекстный менеджер автоматически откатывает все произведённые изменения командой rollback(). Это гарантирует, что в базе данных не остаётся «полу-закрытых» заявок (запчасть списана, но статус заявки не обновился) или «полу-списаний» (одна позиция уменьшена, другая нет). При успешном завершении выполняется единый commit().</w:t>
      </w:r>
    </w:p>
    <w:p>
      <w:pPr>
        <w:spacing w:lineRule="auto" w:line="360" w:before="0" w:after="0"/>
        <w:ind w:firstLine="709"/>
        <w:jc w:val="both"/>
      </w:pPr>
      <w:r>
        <w:rPr>
          <w:rFonts w:ascii="Times New Roman" w:hAnsi="Times New Roman" w:cs="Times New Roman" w:eastAsia="Times New Roman"/>
          <w:b w:val="0"/>
          <w:i w:val="0"/>
          <w:sz w:val="28"/>
        </w:rPr>
        <w:t>Дополнительная защита целостности обеспечивается на уровне СУБД триггером trg_parts_no_overdraft, который отклоняет любой UPDATE, приводящий к отрицательному остатку детали. Это типовой шаблон защиты «глубже прикладного слоя»: даже при ручной модификации базы данных через консольный клиент или ошибке в коде нового модуля, не учитывающего проверку остатка, СУБД сама заблокирует операцию.</w:t>
      </w:r>
    </w:p>
    <w:p>
      <w:pPr>
        <w:spacing w:lineRule="auto" w:line="360" w:before="240" w:after="160"/>
        <w:ind w:firstLine="0"/>
        <w:jc w:val="left"/>
      </w:pPr>
      <w:r>
        <w:rPr>
          <w:rFonts w:ascii="Times New Roman" w:hAnsi="Times New Roman" w:cs="Times New Roman" w:eastAsia="Times New Roman"/>
          <w:b/>
          <w:i w:val="0"/>
          <w:sz w:val="28"/>
        </w:rPr>
        <w:t>2.6. ACID-свойства транзакции закрытия заявки</w:t>
      </w:r>
    </w:p>
    <w:p>
      <w:pPr>
        <w:spacing w:lineRule="auto" w:line="360" w:before="0" w:after="0"/>
        <w:ind w:firstLine="709"/>
        <w:jc w:val="both"/>
      </w:pPr>
      <w:r>
        <w:rPr>
          <w:rFonts w:ascii="Times New Roman" w:hAnsi="Times New Roman" w:cs="Times New Roman" w:eastAsia="Times New Roman"/>
          <w:b w:val="0"/>
          <w:i w:val="0"/>
          <w:sz w:val="28"/>
        </w:rPr>
        <w:t>Эндпоинт /api/requests/{id}/complete является наиболее ответственной точкой системы с точки зрения сохранности данных. Корректность его реализации удобно проанализировать через призму четырёх классических ACID-свойств транзакций, сформулированных Т. Хэдером и А. Реутером.</w:t>
      </w:r>
    </w:p>
    <w:p>
      <w:pPr>
        <w:spacing w:lineRule="auto" w:line="360" w:before="0" w:after="0"/>
        <w:ind w:firstLine="709"/>
        <w:jc w:val="both"/>
      </w:pPr>
      <w:r>
        <w:rPr>
          <w:rFonts w:ascii="Times New Roman" w:hAnsi="Times New Roman" w:cs="Times New Roman" w:eastAsia="Times New Roman"/>
          <w:b w:val="0"/>
          <w:i w:val="0"/>
          <w:sz w:val="28"/>
        </w:rPr>
        <w:t>Atomicity (атомарность) — все шаги операции выполняются как единое целое: либо все изменения (вставка строк в request_parts, уменьшение остатков spare_parts.quantity, обновление статуса заявки, запись в request_status_history) фиксируются командой commit, либо ни одно из них не сохраняется. Атомарность обеспечивается контекстным менеджером db_cursor(commit=True): любое исключение внутри блока автоматически приводит к вызову rollback(), возвращающего базу к состоянию, бывшему до начала транзакции. Без атомарности возможно «полусписание» (одна запчасть списана, вторая отвалилась по исключению), порождающее физически невозможные финансовые остатки.</w:t>
      </w:r>
    </w:p>
    <w:p>
      <w:pPr>
        <w:spacing w:lineRule="auto" w:line="360" w:before="0" w:after="0"/>
        <w:ind w:firstLine="709"/>
        <w:jc w:val="both"/>
      </w:pPr>
      <w:r>
        <w:rPr>
          <w:rFonts w:ascii="Times New Roman" w:hAnsi="Times New Roman" w:cs="Times New Roman" w:eastAsia="Times New Roman"/>
          <w:b w:val="0"/>
          <w:i w:val="0"/>
          <w:sz w:val="28"/>
        </w:rPr>
        <w:t>Consistency (согласованность) — после успешного завершения транзакции база данных сохраняет все целевые бизнес-инварианты: остатки запчастей неотрицательны, статус заявки переведён в is_closed = 1, дата closed_at установлена и не меньше created_at, сумма списания соответствует количеству позиций. Согласованность гарантируется тремя одновременно действующими механизмами: прикладной проверкой остатка ДО списания, ограничениями CHECK уровня СУБД, и триггером trg_parts_no_overdraft. Если хоть одна из проверок отклоняет операцию — транзакция целиком откатывается.</w:t>
      </w:r>
    </w:p>
    <w:p>
      <w:pPr>
        <w:spacing w:lineRule="auto" w:line="360" w:before="0" w:after="0"/>
        <w:ind w:firstLine="709"/>
        <w:jc w:val="both"/>
      </w:pPr>
      <w:r>
        <w:rPr>
          <w:rFonts w:ascii="Times New Roman" w:hAnsi="Times New Roman" w:cs="Times New Roman" w:eastAsia="Times New Roman"/>
          <w:b w:val="0"/>
          <w:i w:val="0"/>
          <w:sz w:val="28"/>
        </w:rPr>
        <w:t>Isolation (изолированность) — параллельные операции других диспетчеров не видят промежуточных состояний транзакции и не могут породить аномалии типа «грязное чтение» или «потерянное обновление». В SQLite изолированность по умолчанию обеспечивается уровнем SERIALIZABLE: одновременная запись в базу всегда сериализуется на уровне всей базы данных. Включение режима WAL (Write-Ahead Logging) через PRAGMA journal_mode = WAL позволяет читателям не блокировать писателей и наоборот, что критически важно для интерфейса диспетчера, постоянно обновляющего канбан-доску в фоне.</w:t>
      </w:r>
    </w:p>
    <w:p>
      <w:pPr>
        <w:spacing w:lineRule="auto" w:line="360" w:before="0" w:after="0"/>
        <w:ind w:firstLine="709"/>
        <w:jc w:val="both"/>
      </w:pPr>
      <w:r>
        <w:rPr>
          <w:rFonts w:ascii="Times New Roman" w:hAnsi="Times New Roman" w:cs="Times New Roman" w:eastAsia="Times New Roman"/>
          <w:b w:val="0"/>
          <w:i w:val="0"/>
          <w:sz w:val="28"/>
        </w:rPr>
        <w:t>Durability (долговечность) — после получения клиентом HTTP 200 OK на запрос /complete все изменения гарантированно сохранены в файле базы данных и переживут перезагрузку сервера или внезапное отключение питания. В режиме WAL SQLite производит fsync на журнале при каждом коммите, что обеспечивает соответствие требованию долговечности при типовых конфигурациях аппаратуры. Для критически ответственных установок дополнительно может быть включён режим PRAGMA synchronous = FULL.</w:t>
      </w:r>
    </w:p>
    <w:p>
      <w:pPr>
        <w:spacing w:lineRule="auto" w:line="276" w:before="80" w:after="160"/>
        <w:ind w:firstLine="0"/>
        <w:jc w:val="left"/>
      </w:pPr>
      <w:r>
        <w:rPr>
          <w:rFonts w:ascii="Courier New" w:hAnsi="Courier New" w:cs="Courier New"/>
          <w:sz w:val="22"/>
        </w:rPr>
        <w:t>@contextmanager</w:t>
        <w:br/>
        <w:t>def db_cursor(commit: bool = False):</w:t>
        <w:br/>
        <w:t xml:space="preserve">    conn = get_connection()</w:t>
        <w:br/>
        <w:t xml:space="preserve">    cur = conn.cursor()</w:t>
        <w:br/>
        <w:t xml:space="preserve">    try:</w:t>
        <w:br/>
        <w:t xml:space="preserve">        yield cur</w:t>
        <w:br/>
        <w:t xml:space="preserve">        if commit:</w:t>
        <w:br/>
        <w:t xml:space="preserve">            conn.commit()</w:t>
        <w:br/>
        <w:t xml:space="preserve">    except Exception:</w:t>
        <w:br/>
        <w:t xml:space="preserve">        conn.rollback()    # откат при любой ошибке — Atomicity</w:t>
        <w:br/>
        <w:t xml:space="preserve">        raise</w:t>
        <w:br/>
        <w:t xml:space="preserve">    finally:</w:t>
        <w:br/>
        <w:t xml:space="preserve">        cur.close()</w:t>
      </w:r>
    </w:p>
    <w:p>
      <w:pPr>
        <w:spacing w:lineRule="auto" w:line="360" w:before="240" w:after="160"/>
        <w:ind w:firstLine="0"/>
        <w:jc w:val="left"/>
      </w:pPr>
      <w:r>
        <w:rPr>
          <w:rFonts w:ascii="Times New Roman" w:hAnsi="Times New Roman" w:cs="Times New Roman" w:eastAsia="Times New Roman"/>
          <w:b/>
          <w:i w:val="0"/>
          <w:sz w:val="28"/>
        </w:rPr>
        <w:t>2.7. Обработка ошибок: 4xx и 5xx как контракт API</w:t>
      </w:r>
    </w:p>
    <w:p>
      <w:pPr>
        <w:spacing w:lineRule="auto" w:line="360" w:before="0" w:after="0"/>
        <w:ind w:firstLine="709"/>
        <w:jc w:val="both"/>
      </w:pPr>
      <w:r>
        <w:rPr>
          <w:rFonts w:ascii="Times New Roman" w:hAnsi="Times New Roman" w:cs="Times New Roman" w:eastAsia="Times New Roman"/>
          <w:b w:val="0"/>
          <w:i w:val="0"/>
          <w:sz w:val="28"/>
        </w:rPr>
        <w:t>Принципиальное различие между бизнес-ошибками и техническими сбоями отражено в системе через выбор HTTP-кода ответа. Возврат 4xx означает, что запрос клиента не может быть обработан по причине, находящейся в области ответственности клиента или состояния предметной области: неверные данные (валидационная ошибка 422), отсутствие требуемого ресурса (404), конфликт состояния (409 при попытке повторного закрытия), либо нарушение бизнес-правила (400 при нехватке запчастей). Сообщение в поле detail должно быть понятно конечному пользователю и помогать ему исправить ситуацию.</w:t>
      </w:r>
    </w:p>
    <w:p>
      <w:pPr>
        <w:spacing w:lineRule="auto" w:line="360" w:before="0" w:after="0"/>
        <w:ind w:firstLine="709"/>
        <w:jc w:val="both"/>
      </w:pPr>
      <w:r>
        <w:rPr>
          <w:rFonts w:ascii="Times New Roman" w:hAnsi="Times New Roman" w:cs="Times New Roman" w:eastAsia="Times New Roman"/>
          <w:b w:val="0"/>
          <w:i w:val="0"/>
          <w:sz w:val="28"/>
        </w:rPr>
        <w:t>Возврат 5xx, напротив, сигнализирует о системной проблеме на стороне сервера — отсутствие подключения к базе, программная ошибка, исчерпание ресурсов, — то есть о ситуации, которую клиент не в состоянии исправить своими действиями. В разработанной системе такие ошибки централизованно перехватываются и журналируются, а пользователю отображается обобщённое сообщение «Внутренняя ошибка сервера, обратитесь в техническую поддержку».</w:t>
      </w:r>
    </w:p>
    <w:p>
      <w:pPr>
        <w:spacing w:lineRule="auto" w:line="360" w:before="0" w:after="0"/>
        <w:ind w:firstLine="709"/>
        <w:jc w:val="both"/>
      </w:pPr>
      <w:r>
        <w:rPr>
          <w:rFonts w:ascii="Times New Roman" w:hAnsi="Times New Roman" w:cs="Times New Roman" w:eastAsia="Times New Roman"/>
          <w:b w:val="0"/>
          <w:i w:val="0"/>
          <w:sz w:val="28"/>
        </w:rPr>
        <w:t>Особое внимание уделено формулировке сообщений при коде 400. Например, при нехватке запчастей сервер возвращает не абстрактное «Insufficient stock», а конкретное «Недостаточно «Подшипник 6204» (SKU BR-6204): требуется 3, доступно 1». Подобный уровень детализации позволяет диспетчеру немедленно принять решение — заказать запчасть, перенести работы или использовать аналог — без обращения к базе данных и программисту.</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551"/>
            <w:vAlign w:val="center"/>
          </w:tcPr>
          <w:p>
            <w:pPr>
              <w:spacing w:lineRule="auto" w:line="276" w:before="0" w:after="0"/>
              <w:ind w:firstLine="0"/>
              <w:jc w:val="center"/>
            </w:pPr>
            <w:r/>
            <w:r>
              <w:rPr>
                <w:rFonts w:ascii="Times New Roman" w:hAnsi="Times New Roman" w:cs="Times New Roman" w:eastAsia="Times New Roman"/>
                <w:b/>
                <w:i w:val="0"/>
                <w:sz w:val="28"/>
              </w:rPr>
              <w:t>Сценарий</w:t>
            </w:r>
          </w:p>
        </w:tc>
        <w:tc>
          <w:tcPr>
            <w:tcW w:type="dxa" w:w="850"/>
            <w:vAlign w:val="center"/>
          </w:tcPr>
          <w:p>
            <w:pPr>
              <w:spacing w:lineRule="auto" w:line="276" w:before="0" w:after="0"/>
              <w:ind w:firstLine="0"/>
              <w:jc w:val="center"/>
            </w:pPr>
            <w:r/>
            <w:r>
              <w:rPr>
                <w:rFonts w:ascii="Times New Roman" w:hAnsi="Times New Roman" w:cs="Times New Roman" w:eastAsia="Times New Roman"/>
                <w:b/>
                <w:i w:val="0"/>
                <w:sz w:val="28"/>
              </w:rPr>
              <w:t>Код</w:t>
            </w:r>
          </w:p>
        </w:tc>
        <w:tc>
          <w:tcPr>
            <w:tcW w:type="dxa" w:w="1417"/>
            <w:vAlign w:val="center"/>
          </w:tcPr>
          <w:p>
            <w:pPr>
              <w:spacing w:lineRule="auto" w:line="276" w:before="0" w:after="0"/>
              <w:ind w:firstLine="0"/>
              <w:jc w:val="center"/>
            </w:pPr>
            <w:r/>
            <w:r>
              <w:rPr>
                <w:rFonts w:ascii="Times New Roman" w:hAnsi="Times New Roman" w:cs="Times New Roman" w:eastAsia="Times New Roman"/>
                <w:b/>
                <w:i w:val="0"/>
                <w:sz w:val="28"/>
              </w:rPr>
              <w:t>Тип</w:t>
            </w:r>
          </w:p>
        </w:tc>
        <w:tc>
          <w:tcPr>
            <w:tcW w:type="dxa" w:w="3685"/>
            <w:vAlign w:val="center"/>
          </w:tcPr>
          <w:p>
            <w:pPr>
              <w:spacing w:lineRule="auto" w:line="276" w:before="0" w:after="0"/>
              <w:ind w:firstLine="0"/>
              <w:jc w:val="center"/>
            </w:pPr>
            <w:r/>
            <w:r>
              <w:rPr>
                <w:rFonts w:ascii="Times New Roman" w:hAnsi="Times New Roman" w:cs="Times New Roman" w:eastAsia="Times New Roman"/>
                <w:b/>
                <w:i w:val="0"/>
                <w:sz w:val="28"/>
              </w:rPr>
              <w:t>Сообщение пользователю</w:t>
            </w:r>
          </w:p>
        </w:tc>
      </w:tr>
      <w:tr>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Заявка не найдена</w:t>
            </w:r>
          </w:p>
        </w:tc>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404</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Бизнес</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Заявка #N не найдена</w:t>
            </w:r>
          </w:p>
        </w:tc>
      </w:tr>
      <w:tr>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Запрос некорректного формата</w:t>
            </w:r>
          </w:p>
        </w:tc>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422</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Валидация</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Поле X обязательно/неверного типа</w:t>
            </w:r>
          </w:p>
        </w:tc>
      </w:tr>
      <w:tr>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Заявка уже закрыта</w:t>
            </w:r>
          </w:p>
        </w:tc>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400</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Бизнес</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Заявка уже закрыта, повторное закрытие невозможно</w:t>
            </w:r>
          </w:p>
        </w:tc>
      </w:tr>
      <w:tr>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Нехватка запчастей</w:t>
            </w:r>
          </w:p>
        </w:tc>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400</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Бизнес</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Недостаточно «деталь»: требуется N, доступно M</w:t>
            </w:r>
          </w:p>
        </w:tc>
      </w:tr>
      <w:tr>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Конфликт назначения</w:t>
            </w:r>
          </w:p>
        </w:tc>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409</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Бизнес</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Сотрудник неактивен или другой роли</w:t>
            </w:r>
          </w:p>
        </w:tc>
      </w:tr>
      <w:tr>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Отказ БД</w:t>
            </w:r>
          </w:p>
        </w:tc>
        <w:tc>
          <w:tcPr>
            <w:tcW w:type="dxa" w:w="850"/>
            <w:vAlign w:val="center"/>
          </w:tcPr>
          <w:p>
            <w:pPr>
              <w:spacing w:lineRule="auto" w:line="276" w:before="0" w:after="0"/>
              <w:ind w:firstLine="0"/>
              <w:jc w:val="left"/>
            </w:pPr>
            <w:r/>
            <w:r>
              <w:rPr>
                <w:rFonts w:ascii="Times New Roman" w:hAnsi="Times New Roman" w:cs="Times New Roman" w:eastAsia="Times New Roman"/>
                <w:b w:val="0"/>
                <w:i w:val="0"/>
                <w:sz w:val="28"/>
              </w:rPr>
              <w:t>500</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Системная</w:t>
            </w:r>
          </w:p>
        </w:tc>
        <w:tc>
          <w:tcPr>
            <w:tcW w:type="dxa" w:w="3685"/>
            <w:vAlign w:val="center"/>
          </w:tcPr>
          <w:p>
            <w:pPr>
              <w:spacing w:lineRule="auto" w:line="276" w:before="0" w:after="0"/>
              <w:ind w:firstLine="0"/>
              <w:jc w:val="left"/>
            </w:pPr>
            <w:r/>
            <w:r>
              <w:rPr>
                <w:rFonts w:ascii="Times New Roman" w:hAnsi="Times New Roman" w:cs="Times New Roman" w:eastAsia="Times New Roman"/>
                <w:b w:val="0"/>
                <w:i w:val="0"/>
                <w:sz w:val="28"/>
              </w:rPr>
              <w:t>Внутренняя ошибка сервера</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2.2 — Контракт обработки ошибок API</w:t>
      </w:r>
    </w:p>
    <w:p>
      <w:pPr>
        <w:spacing w:lineRule="auto" w:line="360" w:before="240" w:after="160"/>
        <w:ind w:firstLine="0"/>
        <w:jc w:val="left"/>
      </w:pPr>
      <w:r>
        <w:rPr>
          <w:rFonts w:ascii="Times New Roman" w:hAnsi="Times New Roman" w:cs="Times New Roman" w:eastAsia="Times New Roman"/>
          <w:b/>
          <w:i w:val="0"/>
          <w:sz w:val="28"/>
        </w:rPr>
        <w:t>2.8. Наблюдаемость: журналирование, метрики, retention</w:t>
      </w:r>
    </w:p>
    <w:p>
      <w:pPr>
        <w:spacing w:lineRule="auto" w:line="360" w:before="0" w:after="0"/>
        <w:ind w:firstLine="709"/>
        <w:jc w:val="both"/>
      </w:pPr>
      <w:r>
        <w:rPr>
          <w:rFonts w:ascii="Times New Roman" w:hAnsi="Times New Roman" w:cs="Times New Roman" w:eastAsia="Times New Roman"/>
          <w:b w:val="0"/>
          <w:i w:val="0"/>
          <w:sz w:val="28"/>
        </w:rPr>
        <w:t>Под наблюдаемостью (observability) понимается способность системы предоставлять оператору и разработчику исчерпывающую информацию о её внутреннем состоянии без необходимости внесения изменений в код. Согласно общепринятой трёхкомпонентной модели, наблюдаемость складывается из логов (структурированные записи о событиях), метрик (числовые показатели нагрузки и производительности) и трассировок (детальная история обработки конкретного запроса).</w:t>
      </w:r>
    </w:p>
    <w:p>
      <w:pPr>
        <w:spacing w:lineRule="auto" w:line="360" w:before="0" w:after="0"/>
        <w:ind w:firstLine="709"/>
        <w:jc w:val="both"/>
      </w:pPr>
      <w:r>
        <w:rPr>
          <w:rFonts w:ascii="Times New Roman" w:hAnsi="Times New Roman" w:cs="Times New Roman" w:eastAsia="Times New Roman"/>
          <w:b w:val="0"/>
          <w:i w:val="0"/>
          <w:sz w:val="28"/>
        </w:rPr>
        <w:t>В разработанной системе применено структурированное журналирование через стандартный модуль logging с JSON-форматом записей. Для каждой смены статуса заявки в журнал попадает запись с полями timestamp, request_id, old_status, new_status, actor_id, ip_address, request_path. Такой формат пригоден для последующей загрузки в централизованные системы анализа логов (ELK-стек, Loki + Grafana) и для построения дашбордов в реальном времени.</w:t>
      </w:r>
    </w:p>
    <w:p>
      <w:pPr>
        <w:spacing w:lineRule="auto" w:line="360" w:before="0" w:after="0"/>
        <w:ind w:firstLine="709"/>
        <w:jc w:val="both"/>
      </w:pPr>
      <w:r>
        <w:rPr>
          <w:rFonts w:ascii="Times New Roman" w:hAnsi="Times New Roman" w:cs="Times New Roman" w:eastAsia="Times New Roman"/>
          <w:b w:val="0"/>
          <w:i w:val="0"/>
          <w:sz w:val="28"/>
        </w:rPr>
        <w:t>Ключевая бизнес-метрика — Mean Time To Repair (MTTR) — вычисляется как медиана разности closed_at − created_at по всем закрытым заявкам за период. Медиана предпочтительнее среднего арифметического из-за высокой асимметрии распределения времени ремонта (несколько долгих случаев перекосили бы среднее). Дополнительно вычисляются 90-й и 95-й процентили — индикаторы «хвоста» распределения, критичные для SLA-обязательств.</w:t>
      </w:r>
    </w:p>
    <w:p>
      <w:pPr>
        <w:spacing w:lineRule="auto" w:line="360" w:before="0" w:after="0"/>
        <w:ind w:firstLine="709"/>
        <w:jc w:val="both"/>
      </w:pPr>
      <w:r>
        <w:rPr>
          <w:rFonts w:ascii="Times New Roman" w:hAnsi="Times New Roman" w:cs="Times New Roman" w:eastAsia="Times New Roman"/>
          <w:b w:val="0"/>
          <w:i w:val="0"/>
          <w:sz w:val="28"/>
        </w:rPr>
        <w:t>Полный набор метрик наблюдаемости системы:</w:t>
      </w:r>
    </w:p>
    <w:p>
      <w:pPr>
        <w:spacing w:lineRule="auto" w:line="360" w:before="0" w:after="0"/>
        <w:ind w:left="709" w:hanging="283"/>
        <w:jc w:val="both"/>
      </w:pPr>
      <w:r>
        <w:rPr>
          <w:rFonts w:ascii="Times New Roman" w:hAnsi="Times New Roman" w:cs="Times New Roman" w:eastAsia="Times New Roman"/>
          <w:b w:val="0"/>
          <w:i w:val="0"/>
          <w:sz w:val="28"/>
        </w:rPr>
        <w:t>— MTTR — медианное и 95-й процентиль время устранения заявок (по приоритетам);</w:t>
      </w:r>
    </w:p>
    <w:p>
      <w:pPr>
        <w:spacing w:lineRule="auto" w:line="360" w:before="0" w:after="0"/>
        <w:ind w:left="709" w:hanging="283"/>
        <w:jc w:val="both"/>
      </w:pPr>
      <w:r>
        <w:rPr>
          <w:rFonts w:ascii="Times New Roman" w:hAnsi="Times New Roman" w:cs="Times New Roman" w:eastAsia="Times New Roman"/>
          <w:b w:val="0"/>
          <w:i w:val="0"/>
          <w:sz w:val="28"/>
        </w:rPr>
        <w:t>— MTBF — средняя наработка между отказами по каждой единице оборудования (на основе created_at соседних критических заявок);</w:t>
      </w:r>
    </w:p>
    <w:p>
      <w:pPr>
        <w:spacing w:lineRule="auto" w:line="360" w:before="0" w:after="0"/>
        <w:ind w:left="709" w:hanging="283"/>
        <w:jc w:val="both"/>
      </w:pPr>
      <w:r>
        <w:rPr>
          <w:rFonts w:ascii="Times New Roman" w:hAnsi="Times New Roman" w:cs="Times New Roman" w:eastAsia="Times New Roman"/>
          <w:b w:val="0"/>
          <w:i w:val="0"/>
          <w:sz w:val="28"/>
        </w:rPr>
        <w:t>— Backlog — число открытых заявок на момент времени (индикатор перегрузки диспетчерской);</w:t>
      </w:r>
    </w:p>
    <w:p>
      <w:pPr>
        <w:spacing w:lineRule="auto" w:line="360" w:before="0" w:after="0"/>
        <w:ind w:left="709" w:hanging="283"/>
        <w:jc w:val="both"/>
      </w:pPr>
      <w:r>
        <w:rPr>
          <w:rFonts w:ascii="Times New Roman" w:hAnsi="Times New Roman" w:cs="Times New Roman" w:eastAsia="Times New Roman"/>
          <w:b w:val="0"/>
          <w:i w:val="0"/>
          <w:sz w:val="28"/>
        </w:rPr>
        <w:t>— Throughput — число закрытых заявок за рабочий день (пропускная способность ремонтной бригады);</w:t>
      </w:r>
    </w:p>
    <w:p>
      <w:pPr>
        <w:spacing w:lineRule="auto" w:line="360" w:before="0" w:after="0"/>
        <w:ind w:left="709" w:hanging="283"/>
        <w:jc w:val="both"/>
      </w:pPr>
      <w:r>
        <w:rPr>
          <w:rFonts w:ascii="Times New Roman" w:hAnsi="Times New Roman" w:cs="Times New Roman" w:eastAsia="Times New Roman"/>
          <w:b w:val="0"/>
          <w:i w:val="0"/>
          <w:sz w:val="28"/>
        </w:rPr>
        <w:t>— SLA-compliance — доля заявок, закрытых в нормативе (критические — 2 ч, средние — 24 ч);</w:t>
      </w:r>
    </w:p>
    <w:p>
      <w:pPr>
        <w:spacing w:lineRule="auto" w:line="360" w:before="0" w:after="0"/>
        <w:ind w:left="709" w:hanging="283"/>
        <w:jc w:val="both"/>
      </w:pPr>
      <w:r>
        <w:rPr>
          <w:rFonts w:ascii="Times New Roman" w:hAnsi="Times New Roman" w:cs="Times New Roman" w:eastAsia="Times New Roman"/>
          <w:b w:val="0"/>
          <w:i w:val="0"/>
          <w:sz w:val="28"/>
        </w:rPr>
        <w:t>— Stock-out — частота отказов /complete по причине нехватки запчастей.</w:t>
      </w:r>
    </w:p>
    <w:p>
      <w:pPr>
        <w:spacing w:lineRule="auto" w:line="360" w:before="0" w:after="0"/>
        <w:ind w:firstLine="709"/>
        <w:jc w:val="both"/>
      </w:pPr>
      <w:r>
        <w:rPr>
          <w:rFonts w:ascii="Times New Roman" w:hAnsi="Times New Roman" w:cs="Times New Roman" w:eastAsia="Times New Roman"/>
          <w:b w:val="0"/>
          <w:i w:val="0"/>
          <w:sz w:val="28"/>
        </w:rPr>
        <w:t>Политика retention (срока хранения) данных дифференцирована по типу: оперативные данные (maintenance_requests, request_parts) хранятся бессрочно, аудит-журнал request_status_history — не менее 5 лет (требование ISO 9001), логи приложения — 90 дней (с архивированием значимых событий). Реализация архивации выполняется периодической задачей экспорта в Parquet-файлы и удаления старых записей с сохранением агрегатных KPI.</w:t>
      </w:r>
    </w:p>
    <w:p>
      <w:pPr>
        <w:spacing w:lineRule="auto" w:line="360" w:before="240" w:after="160"/>
        <w:ind w:firstLine="0"/>
        <w:jc w:val="left"/>
      </w:pPr>
      <w:r>
        <w:rPr>
          <w:rFonts w:ascii="Times New Roman" w:hAnsi="Times New Roman" w:cs="Times New Roman" w:eastAsia="Times New Roman"/>
          <w:b/>
          <w:i w:val="0"/>
          <w:sz w:val="28"/>
        </w:rPr>
        <w:t>2.9. Безопасность и защита аудит-следа</w:t>
      </w:r>
    </w:p>
    <w:p>
      <w:pPr>
        <w:spacing w:lineRule="auto" w:line="360" w:before="0" w:after="0"/>
        <w:ind w:firstLine="709"/>
        <w:jc w:val="both"/>
      </w:pPr>
      <w:r>
        <w:rPr>
          <w:rFonts w:ascii="Times New Roman" w:hAnsi="Times New Roman" w:cs="Times New Roman" w:eastAsia="Times New Roman"/>
          <w:b w:val="0"/>
          <w:i w:val="0"/>
          <w:sz w:val="28"/>
        </w:rPr>
        <w:t>Безопасность системы учёта заявок рассматривается в трёх аспектах: защита от технических атак (в первую очередь от SQL-инъекций), разграничение доступа на основе ролей и защита неизменяемости аудит-следа.</w:t>
      </w:r>
    </w:p>
    <w:p>
      <w:pPr>
        <w:spacing w:lineRule="auto" w:line="360" w:before="0" w:after="0"/>
        <w:ind w:firstLine="709"/>
        <w:jc w:val="both"/>
      </w:pPr>
      <w:r>
        <w:rPr>
          <w:rFonts w:ascii="Times New Roman" w:hAnsi="Times New Roman" w:cs="Times New Roman" w:eastAsia="Times New Roman"/>
          <w:b w:val="0"/>
          <w:i w:val="0"/>
          <w:sz w:val="28"/>
        </w:rPr>
        <w:t>Защита от SQL-инъекций обеспечивается полным запретом на конкатенацию пользовательских данных в SQL-строки. Все запросы к базе формулируются параметризованно через подстановку «?» с передачей значений отдельным кортежем, как того требует PEP 249 DB-API. Это технически невозможно обойти, даже если злонамеренный пользователь введёт управляющие символы — драйвер SQLite экранирует их автоматически. Никаких ручных f-строк с пользовательским вводом в SQL-запросах в системе нет — это проверено по код-ревью и подтверждено статическим анализом bandit.</w:t>
      </w:r>
    </w:p>
    <w:p>
      <w:pPr>
        <w:spacing w:lineRule="auto" w:line="360" w:before="0" w:after="0"/>
        <w:ind w:firstLine="709"/>
        <w:jc w:val="both"/>
      </w:pPr>
      <w:r>
        <w:rPr>
          <w:rFonts w:ascii="Times New Roman" w:hAnsi="Times New Roman" w:cs="Times New Roman" w:eastAsia="Times New Roman"/>
          <w:b w:val="0"/>
          <w:i w:val="0"/>
          <w:sz w:val="28"/>
        </w:rPr>
        <w:t>Защита аудит-следа реализована на двух уровнях. Во-первых, бизнес-логика прикладного слоя запрещает удаление заявок, перешедших в статус «В работе» и далее — допустимо только редактирование описания и комментариев, но не удаление самой записи. Это компромисс между удобством пользователя (диспетчер может ошибиться при регистрации заявки и захотеть её удалить) и требованием аудита (заявка, по которой уже выполнялась работа, должна оставаться в истории). Во-вторых, на уровне СУБД таблица request_status_history не имеет триггеров на DELETE/UPDATE, что осложняет фальсификацию журнала; в production-конфигурации рекомендуется отзыв прав DELETE/UPDATE у учётной записи приложения для этой таблицы.</w:t>
      </w:r>
    </w:p>
    <w:p>
      <w:pPr>
        <w:spacing w:lineRule="auto" w:line="360" w:before="0" w:after="0"/>
        <w:ind w:firstLine="709"/>
        <w:jc w:val="both"/>
      </w:pPr>
      <w:r>
        <w:rPr>
          <w:rFonts w:ascii="Times New Roman" w:hAnsi="Times New Roman" w:cs="Times New Roman" w:eastAsia="Times New Roman"/>
          <w:b w:val="0"/>
          <w:i w:val="0"/>
          <w:sz w:val="28"/>
        </w:rPr>
        <w:t>Принципы безопасности, реализованные в системе:</w:t>
      </w:r>
    </w:p>
    <w:p>
      <w:pPr>
        <w:spacing w:lineRule="auto" w:line="360" w:before="0" w:after="0"/>
        <w:ind w:left="709" w:hanging="283"/>
        <w:jc w:val="both"/>
      </w:pPr>
      <w:r>
        <w:rPr>
          <w:rFonts w:ascii="Times New Roman" w:hAnsi="Times New Roman" w:cs="Times New Roman" w:eastAsia="Times New Roman"/>
          <w:b w:val="0"/>
          <w:i w:val="0"/>
          <w:sz w:val="28"/>
        </w:rPr>
        <w:t>— параметризованные SQL-запросы во всех точках доступа к БД (defense against SQL injection);</w:t>
      </w:r>
    </w:p>
    <w:p>
      <w:pPr>
        <w:spacing w:lineRule="auto" w:line="360" w:before="0" w:after="0"/>
        <w:ind w:left="709" w:hanging="283"/>
        <w:jc w:val="both"/>
      </w:pPr>
      <w:r>
        <w:rPr>
          <w:rFonts w:ascii="Times New Roman" w:hAnsi="Times New Roman" w:cs="Times New Roman" w:eastAsia="Times New Roman"/>
          <w:b w:val="0"/>
          <w:i w:val="0"/>
          <w:sz w:val="28"/>
        </w:rPr>
        <w:t>— валидация всех входных данных средствами Pydantic с проверкой типов и допустимых диапазонов;</w:t>
      </w:r>
    </w:p>
    <w:p>
      <w:pPr>
        <w:spacing w:lineRule="auto" w:line="360" w:before="0" w:after="0"/>
        <w:ind w:left="709" w:hanging="283"/>
        <w:jc w:val="both"/>
      </w:pPr>
      <w:r>
        <w:rPr>
          <w:rFonts w:ascii="Times New Roman" w:hAnsi="Times New Roman" w:cs="Times New Roman" w:eastAsia="Times New Roman"/>
          <w:b w:val="0"/>
          <w:i w:val="0"/>
          <w:sz w:val="28"/>
        </w:rPr>
        <w:t>— идентификация инициатора каждой бизнес-операции через поле actor_id (создаёт юридическую персональную ответственность);</w:t>
      </w:r>
    </w:p>
    <w:p>
      <w:pPr>
        <w:spacing w:lineRule="auto" w:line="360" w:before="0" w:after="0"/>
        <w:ind w:left="709" w:hanging="283"/>
        <w:jc w:val="both"/>
      </w:pPr>
      <w:r>
        <w:rPr>
          <w:rFonts w:ascii="Times New Roman" w:hAnsi="Times New Roman" w:cs="Times New Roman" w:eastAsia="Times New Roman"/>
          <w:b w:val="0"/>
          <w:i w:val="0"/>
          <w:sz w:val="28"/>
        </w:rPr>
        <w:t>— запрет каскадного удаления заявок с историей;</w:t>
      </w:r>
    </w:p>
    <w:p>
      <w:pPr>
        <w:spacing w:lineRule="auto" w:line="360" w:before="0" w:after="0"/>
        <w:ind w:left="709" w:hanging="283"/>
        <w:jc w:val="both"/>
      </w:pPr>
      <w:r>
        <w:rPr>
          <w:rFonts w:ascii="Times New Roman" w:hAnsi="Times New Roman" w:cs="Times New Roman" w:eastAsia="Times New Roman"/>
          <w:b w:val="0"/>
          <w:i w:val="0"/>
          <w:sz w:val="28"/>
        </w:rPr>
        <w:t>— минимизация поверхностей атаки — только необходимые эндпоинты, отсутствие административных GUI-консолей на production-хосте;</w:t>
      </w:r>
    </w:p>
    <w:p>
      <w:pPr>
        <w:spacing w:lineRule="auto" w:line="360" w:before="0" w:after="0"/>
        <w:ind w:left="709" w:hanging="283"/>
        <w:jc w:val="both"/>
      </w:pPr>
      <w:r>
        <w:rPr>
          <w:rFonts w:ascii="Times New Roman" w:hAnsi="Times New Roman" w:cs="Times New Roman" w:eastAsia="Times New Roman"/>
          <w:b w:val="0"/>
          <w:i w:val="0"/>
          <w:sz w:val="28"/>
        </w:rPr>
        <w:t>— разделение прав на чтение и запись на уровне ролей staff_roles (admin / dispatcher / technician).</w:t>
      </w:r>
    </w:p>
    <w:p>
      <w:pPr>
        <w:spacing w:lineRule="auto" w:line="360" w:before="240" w:after="160"/>
        <w:ind w:firstLine="0"/>
        <w:jc w:val="left"/>
      </w:pPr>
      <w:r>
        <w:rPr>
          <w:rFonts w:ascii="Times New Roman" w:hAnsi="Times New Roman" w:cs="Times New Roman" w:eastAsia="Times New Roman"/>
          <w:b/>
          <w:i w:val="0"/>
          <w:sz w:val="28"/>
        </w:rPr>
        <w:t>2.10. Интеграции с производственными системами</w:t>
      </w:r>
    </w:p>
    <w:p>
      <w:pPr>
        <w:spacing w:lineRule="auto" w:line="360" w:before="0" w:after="0"/>
        <w:ind w:firstLine="709"/>
        <w:jc w:val="both"/>
      </w:pPr>
      <w:r>
        <w:rPr>
          <w:rFonts w:ascii="Times New Roman" w:hAnsi="Times New Roman" w:cs="Times New Roman" w:eastAsia="Times New Roman"/>
          <w:b w:val="0"/>
          <w:i w:val="0"/>
          <w:sz w:val="28"/>
        </w:rPr>
        <w:t>Несмотря на самодостаточность спроектированной системы учёта заявок, в реальной эксплуатации она взаимодействует с тремя классами внешних источников данных: автоматизированными системами управления технологическими процессами (АСУ ТП), промышленным интернетом вещей (IIoT) и корпоративными бизнес-приложениями (ERP, складские системы).</w:t>
      </w:r>
    </w:p>
    <w:p>
      <w:pPr>
        <w:spacing w:lineRule="auto" w:line="360" w:before="0" w:after="0"/>
        <w:ind w:firstLine="709"/>
        <w:jc w:val="both"/>
      </w:pPr>
      <w:r>
        <w:rPr>
          <w:rFonts w:ascii="Times New Roman" w:hAnsi="Times New Roman" w:cs="Times New Roman" w:eastAsia="Times New Roman"/>
          <w:b w:val="0"/>
          <w:i w:val="0"/>
          <w:sz w:val="28"/>
        </w:rPr>
        <w:t>Промышленный протокол OPC UA (Unified Architecture, IEC 62541) является де-факто стандартом обмена данными между АСУ ТП и верхним уровнем управления предприятием. С его помощью система учёта заявок может получать телеметрию от станков и контроллеров: счётчики наработки, температуру узлов, число циклов, вибрационные показатели. Превышение пороговых значений может автоматически порождать заявки в статусе «Получена» с приоритетом, соответствующим критичности отклонения.</w:t>
      </w:r>
    </w:p>
    <w:p>
      <w:pPr>
        <w:spacing w:lineRule="auto" w:line="360" w:before="0" w:after="0"/>
        <w:ind w:firstLine="709"/>
        <w:jc w:val="both"/>
      </w:pPr>
      <w:r>
        <w:rPr>
          <w:rFonts w:ascii="Times New Roman" w:hAnsi="Times New Roman" w:cs="Times New Roman" w:eastAsia="Times New Roman"/>
          <w:b w:val="0"/>
          <w:i w:val="0"/>
          <w:sz w:val="28"/>
        </w:rPr>
        <w:t>Протокол MQTT (Message Queuing Telemetry Transport, ISO/IEC 20922) применяется для лёгких датчиков, не требующих полноценного OPC UA: температурные щупы, датчики уровня масла, акселерометры. Брокер MQTT передаёт сообщения подписчику-адаптеру, который преобразует их в записи журнала наработки equipment_runtime и при необходимости создаёт заявки. Такая интеграция формирует предпосылки для перехода к предиктивному обслуживанию: модель машинного обучения, обученная на исторических данных «датчики → отказ», может предсказывать дату следующего отказа за 5–7 дней.</w:t>
      </w:r>
    </w:p>
    <w:p>
      <w:pPr>
        <w:spacing w:lineRule="auto" w:line="360" w:before="0" w:after="0"/>
        <w:ind w:firstLine="709"/>
        <w:jc w:val="both"/>
      </w:pPr>
      <w:r>
        <w:rPr>
          <w:rFonts w:ascii="Times New Roman" w:hAnsi="Times New Roman" w:cs="Times New Roman" w:eastAsia="Times New Roman"/>
          <w:b w:val="0"/>
          <w:i w:val="0"/>
          <w:sz w:val="28"/>
        </w:rPr>
        <w:t>Протокол Modbus, исторически разработанный для промышленных контроллеров, по-прежнему поддерживается значительной частью эксплуатируемого парка оборудования. Шлюзы Modbus → MQTT (например, EdgeX Foundry) обеспечивают плавную миграцию старого оборудования в современную наблюдаемую инфраструктуру без замены контроллеров.</w:t>
      </w:r>
    </w:p>
    <w:p>
      <w:pPr>
        <w:spacing w:lineRule="auto" w:line="360" w:before="0" w:after="0"/>
        <w:ind w:firstLine="709"/>
        <w:jc w:val="both"/>
      </w:pPr>
      <w:r>
        <w:rPr>
          <w:rFonts w:ascii="Times New Roman" w:hAnsi="Times New Roman" w:cs="Times New Roman" w:eastAsia="Times New Roman"/>
          <w:b w:val="0"/>
          <w:i w:val="0"/>
          <w:sz w:val="28"/>
        </w:rPr>
        <w:t>Интеграция с корпоративными ERP-системами осуществляется по принципу «канонических данных»: оборудование с инвентарными номерами и запчасти с артикулами синхронизируются из корпоративного справочника, а данные о фактически выполненных заявках выгружаются обратно для проводки в бухгалтерском контуре. Технически это реализуется через REST-обмен по расписанию или через шину сообщений (Kafka, RabbitMQ) для систем с высокими требованиями к оперативности.</w:t>
      </w:r>
    </w:p>
    <w:p>
      <w:pPr>
        <w:spacing w:lineRule="auto" w:line="360" w:before="240" w:after="160"/>
        <w:ind w:firstLine="0"/>
        <w:jc w:val="left"/>
      </w:pPr>
      <w:r>
        <w:rPr>
          <w:rFonts w:ascii="Times New Roman" w:hAnsi="Times New Roman" w:cs="Times New Roman" w:eastAsia="Times New Roman"/>
          <w:b/>
          <w:i w:val="0"/>
          <w:sz w:val="28"/>
        </w:rPr>
        <w:t>2.11. Выводы по разделу</w:t>
      </w:r>
    </w:p>
    <w:p>
      <w:pPr>
        <w:spacing w:lineRule="auto" w:line="360" w:before="0" w:after="0"/>
        <w:ind w:firstLine="709"/>
        <w:jc w:val="both"/>
      </w:pPr>
      <w:r>
        <w:rPr>
          <w:rFonts w:ascii="Times New Roman" w:hAnsi="Times New Roman" w:cs="Times New Roman" w:eastAsia="Times New Roman"/>
          <w:b w:val="0"/>
          <w:i w:val="0"/>
          <w:sz w:val="28"/>
        </w:rPr>
        <w:t>Во втором разделе автором обоснован выбор стека Python — FastAPI — SQLite; реализована слоистая архитектура серверной части с четырьмя роутерами; разработан ключевой бизнес-алгоритм закрытия заявки с атомарной проверкой и списанием всех запчастей в единой транзакции; реализована двухуровневая защита целостности данных (прикладной слой + триггеры СУБД). Дополнительно обоснованы соответствие REST-принципам Филдинга, выполнение ACID-свойств транзакции закрытия, чёткое разделение бизнес-ошибок (4xx) и системных сбоев (5xx) на уровне HTTP-контракта, реализация структурированного журналирования и метрик MTTR/MTBF, архитектурные меры безопасности и защиты аудит-следа, а также пути интеграции с производственными системами на базе протоколов OPC UA, MQTT и Modbus.</w:t>
      </w:r>
    </w:p>
    <w:p>
      <w:r>
        <w:br w:type="page"/>
      </w:r>
    </w:p>
    <w:p>
      <w:pPr>
        <w:spacing w:lineRule="auto" w:line="360" w:before="0" w:after="360"/>
        <w:ind w:firstLine="0"/>
        <w:jc w:val="center"/>
      </w:pPr>
      <w:r>
        <w:rPr>
          <w:rFonts w:ascii="Times New Roman" w:hAnsi="Times New Roman" w:cs="Times New Roman" w:eastAsia="Times New Roman"/>
          <w:b/>
          <w:i w:val="0"/>
          <w:sz w:val="28"/>
        </w:rPr>
        <w:t>3. ПРОГРАММНАЯ РЕАЛИЗАЦИЯ КЛИЕНТСКОЙ ЧАСТИ</w:t>
      </w:r>
    </w:p>
    <w:p>
      <w:pPr>
        <w:spacing w:lineRule="auto" w:line="360" w:before="240" w:after="160"/>
        <w:ind w:firstLine="0"/>
        <w:jc w:val="left"/>
      </w:pPr>
      <w:r>
        <w:rPr>
          <w:rFonts w:ascii="Times New Roman" w:hAnsi="Times New Roman" w:cs="Times New Roman" w:eastAsia="Times New Roman"/>
          <w:b/>
          <w:i w:val="0"/>
          <w:sz w:val="28"/>
        </w:rPr>
        <w:t>3.1. UX/UI-концепция «Enterprise Dashboard»</w:t>
      </w:r>
    </w:p>
    <w:p>
      <w:pPr>
        <w:spacing w:lineRule="auto" w:line="360" w:before="0" w:after="0"/>
        <w:ind w:firstLine="709"/>
        <w:jc w:val="both"/>
      </w:pPr>
      <w:r>
        <w:rPr>
          <w:rFonts w:ascii="Times New Roman" w:hAnsi="Times New Roman" w:cs="Times New Roman" w:eastAsia="Times New Roman"/>
          <w:b w:val="0"/>
          <w:i w:val="0"/>
          <w:sz w:val="28"/>
        </w:rPr>
        <w:t>Визуальное оформление интерфейса диспетчера построено в концепции «Enterprise Dashboard» — современный корпоративный стиль с контрастной тёмно-индиго боковой панелью, светлым контентом и продуманной системой цветовой маркировки. Доминирующий цвет — индиго #3B82F6 — символизирует стабильность и доверие; критические заявки и неисправности выделяются мягким пастельно-красным фоном #FEE2E2 с акцентным #B91C1C, средний приоритет — пастельно-жёлтым #FEF3C7 с #92400E, низкий — пастельно-зелёным #D1FAE5 с #065F46. Использование пастельных фонов вместо насыщенных позволяет одновременно сохранять читабельность текста и обеспечивать мгновенное визуальное распознавание уровня срочности.</w:t>
      </w:r>
    </w:p>
    <w:p>
      <w:pPr>
        <w:spacing w:lineRule="auto" w:line="360" w:before="160" w:after="160"/>
        <w:ind w:firstLine="0"/>
        <w:jc w:val="center"/>
      </w:pPr>
      <w:r>
        <w:rPr>
          <w:rFonts w:ascii="Times New Roman" w:hAnsi="Times New Roman" w:cs="Times New Roman" w:eastAsia="Times New Roman"/>
          <w:b w:val="0"/>
          <w:i/>
          <w:color w:val="333333"/>
          <w:sz w:val="28"/>
        </w:rPr>
        <w:t>{Скриншот: Палитра «Enterprise Dashboard» с примерами оформления приоритетов: пастельно-красный фон для критических, жёлтый для средних, зелёный для низких}</w:t>
      </w:r>
    </w:p>
    <w:p>
      <w:pPr>
        <w:spacing w:lineRule="auto" w:line="360" w:before="0" w:after="240"/>
        <w:ind w:firstLine="0"/>
        <w:jc w:val="center"/>
      </w:pPr>
      <w:r>
        <w:rPr>
          <w:rFonts w:ascii="Times New Roman" w:hAnsi="Times New Roman" w:cs="Times New Roman" w:eastAsia="Times New Roman"/>
          <w:b w:val="0"/>
          <w:i w:val="0"/>
          <w:sz w:val="28"/>
        </w:rPr>
        <w:t>Рисунок 3.1 — Цветовая палитра приоритетов</w:t>
      </w:r>
    </w:p>
    <w:p>
      <w:pPr>
        <w:spacing w:lineRule="auto" w:line="360" w:before="0" w:after="0"/>
        <w:ind w:firstLine="709"/>
        <w:jc w:val="both"/>
      </w:pPr>
      <w:r>
        <w:rPr>
          <w:rFonts w:ascii="Times New Roman" w:hAnsi="Times New Roman" w:cs="Times New Roman" w:eastAsia="Times New Roman"/>
          <w:b w:val="0"/>
          <w:i w:val="0"/>
          <w:sz w:val="28"/>
        </w:rPr>
        <w:t>Все цвета вынесены в CSS Custom Properties в селекторе :root, что позволяет менять тему оформления в одной точке без правки исходного кода. Скругления элементов составляют 6–8 пикселей, что соответствует общепринятой практике корпоративных интерфейсов и сохраняет деловой характер дизайна. Все интерактивные элементы (кнопки, карточки) имеют плавные hover-эффекты с лёгким поднятием translateY(-2px) и усилением тени.</w:t>
      </w:r>
    </w:p>
    <w:p>
      <w:pPr>
        <w:spacing w:lineRule="auto" w:line="360" w:before="0" w:after="0"/>
        <w:ind w:firstLine="709"/>
        <w:jc w:val="both"/>
      </w:pPr>
      <w:r>
        <w:rPr>
          <w:rFonts w:ascii="Times New Roman" w:hAnsi="Times New Roman" w:cs="Times New Roman" w:eastAsia="Times New Roman"/>
          <w:b w:val="0"/>
          <w:i w:val="0"/>
          <w:sz w:val="28"/>
        </w:rPr>
        <w:t>Выбор тёмного оттенка slate-900 (#0F172A) для боковой панели обусловлен не только эстетическими, но и психологическими соображениями. Тёмный фон ассоциируется с серьёзностью, концентрацией и «диспетчерским пультом» — образом, восходящим к интерфейсам АСУ ТП и центров управления полётами. Светлая рабочая область, напротив, снижает утомляемость глаз при многочасовом просмотре текстовой информации (журналы заявок) и обеспечивает точное восприятие пастельной цветовой маркировки. Контраст тёмная панель — светлый контент чётко разграничивает зоны «навигация» и «работа», что соответствует принципу пространственной семантики интерфейса (spatial mapping).</w:t>
      </w:r>
    </w:p>
    <w:p>
      <w:pPr>
        <w:spacing w:lineRule="auto" w:line="360" w:before="0" w:after="0"/>
        <w:ind w:firstLine="709"/>
        <w:jc w:val="both"/>
      </w:pPr>
      <w:r>
        <w:rPr>
          <w:rFonts w:ascii="Times New Roman" w:hAnsi="Times New Roman" w:cs="Times New Roman" w:eastAsia="Times New Roman"/>
          <w:b w:val="0"/>
          <w:i w:val="0"/>
          <w:sz w:val="28"/>
        </w:rPr>
        <w:t>Выбор пастельных, а не насыщенных, фонов для строк таблицы заявок имеет конкретное обоснование. Насыщенные цвета (например, #DC2626 для критических) создают избыточный «шум» в рабочей области и быстро утомляют оператора; кроме того, при большом числе критических заявок весь интерфейс становится агрессивно-красным, что парадоксальным образом снижает скорость их распознавания (эффект «потерянного сигнала в шуме»). Пастельный фон #FEE2E2 в комбинации с насыщенной левой полосой #DC2626 формирует двухкомпонентный сигнал: фон обеспечивает визуальную классификацию строки, полоса выполняет роль высококонтрастного «маркёра внимания». Такая схема следует принципу «высокая информационная плотность при сохранении пригодности к длительной работе».</w:t>
      </w:r>
    </w:p>
    <w:p>
      <w:pPr>
        <w:spacing w:lineRule="auto" w:line="360" w:before="240" w:after="160"/>
        <w:ind w:firstLine="0"/>
        <w:jc w:val="left"/>
      </w:pPr>
      <w:r>
        <w:rPr>
          <w:rFonts w:ascii="Times New Roman" w:hAnsi="Times New Roman" w:cs="Times New Roman" w:eastAsia="Times New Roman"/>
          <w:b/>
          <w:i w:val="0"/>
          <w:sz w:val="28"/>
        </w:rPr>
        <w:t>3.2. Структура интерфейса диспетчера</w:t>
      </w:r>
    </w:p>
    <w:p>
      <w:pPr>
        <w:spacing w:lineRule="auto" w:line="360" w:before="0" w:after="0"/>
        <w:ind w:firstLine="709"/>
        <w:jc w:val="both"/>
      </w:pPr>
      <w:r>
        <w:rPr>
          <w:rFonts w:ascii="Times New Roman" w:hAnsi="Times New Roman" w:cs="Times New Roman" w:eastAsia="Times New Roman"/>
          <w:b w:val="0"/>
          <w:i w:val="0"/>
          <w:sz w:val="28"/>
        </w:rPr>
        <w:t>Интерфейс диспетчера реализован как одностраничное приложение (SPA) с фиксированной боковой панелью и пятью основными разделами: «Dashboard» с KPI открытых заявок, карточками критических неисправностей и блоком запчастей ниже минимума; «Канбан-доска» — четырёхколоночное представление открытых заявок по статусам; «Журнал заявок» — табличное представление с расширенными фильтрами и цветовой маркировкой строк; «Оборудование» — каталог с подсветкой единиц, имеющих критические заявки; «Склад запчастей» — таблица с подсветкой позиций ниже минимального остатка.</w:t>
      </w:r>
    </w:p>
    <w:p>
      <w:pPr>
        <w:spacing w:lineRule="auto" w:line="360" w:before="160" w:after="160"/>
        <w:ind w:firstLine="0"/>
        <w:jc w:val="center"/>
      </w:pPr>
      <w:r>
        <w:rPr>
          <w:rFonts w:ascii="Times New Roman" w:hAnsi="Times New Roman" w:cs="Times New Roman" w:eastAsia="Times New Roman"/>
          <w:b w:val="0"/>
          <w:i/>
          <w:color w:val="333333"/>
          <w:sz w:val="28"/>
        </w:rPr>
        <w:t>{Скриншот: Канбан-доска заявок в четыре колонки (Получена, В работе, На проверке, Выполнена) с карточками заявок, имеющих цветную полосу слева в зависимости от приоритета}</w:t>
      </w:r>
    </w:p>
    <w:p>
      <w:pPr>
        <w:spacing w:lineRule="auto" w:line="360" w:before="0" w:after="240"/>
        <w:ind w:firstLine="0"/>
        <w:jc w:val="center"/>
      </w:pPr>
      <w:r>
        <w:rPr>
          <w:rFonts w:ascii="Times New Roman" w:hAnsi="Times New Roman" w:cs="Times New Roman" w:eastAsia="Times New Roman"/>
          <w:b w:val="0"/>
          <w:i w:val="0"/>
          <w:sz w:val="28"/>
        </w:rPr>
        <w:t>Рисунок 3.2 — Канбан-доска заявок</w:t>
      </w:r>
    </w:p>
    <w:p>
      <w:pPr>
        <w:spacing w:lineRule="auto" w:line="360" w:before="240" w:after="160"/>
        <w:ind w:firstLine="0"/>
        <w:jc w:val="left"/>
      </w:pPr>
      <w:r>
        <w:rPr>
          <w:rFonts w:ascii="Times New Roman" w:hAnsi="Times New Roman" w:cs="Times New Roman" w:eastAsia="Times New Roman"/>
          <w:b/>
          <w:i w:val="0"/>
          <w:sz w:val="28"/>
        </w:rPr>
        <w:t>3.3. Цветовая маркировка приоритетов в таблице</w:t>
      </w:r>
    </w:p>
    <w:p>
      <w:pPr>
        <w:spacing w:lineRule="auto" w:line="360" w:before="0" w:after="0"/>
        <w:ind w:firstLine="709"/>
        <w:jc w:val="both"/>
      </w:pPr>
      <w:r>
        <w:rPr>
          <w:rFonts w:ascii="Times New Roman" w:hAnsi="Times New Roman" w:cs="Times New Roman" w:eastAsia="Times New Roman"/>
          <w:b w:val="0"/>
          <w:i w:val="0"/>
          <w:sz w:val="28"/>
        </w:rPr>
        <w:t>В разделе «Журнал заявок» каждая строка таблицы получает цветовую заливку и левую вертикальную полосу-индикатор в зависимости от приоритета. Реализация выполнена средствами CSS — JavaScript только добавляет к элементу tr класс row--critical, row--medium или row--low. CSS-правила сохраняют пастельный фон и насыщенный цвет полосы, что сохраняет читаемость текста, не перегружая интерфейс. Для закрытых заявок применяется класс row--closed с приглушённой прозрачностью 0.55 — это визуально отделяет историческое от актуального.</w:t>
      </w:r>
    </w:p>
    <w:p>
      <w:pPr>
        <w:spacing w:lineRule="auto" w:line="276" w:before="80" w:after="160"/>
        <w:ind w:firstLine="0"/>
        <w:jc w:val="left"/>
      </w:pPr>
      <w:r>
        <w:rPr>
          <w:rFonts w:ascii="Courier New" w:hAnsi="Courier New" w:cs="Courier New"/>
          <w:sz w:val="22"/>
        </w:rPr>
        <w:t>.data-table--rich tbody tr {</w:t>
        <w:br/>
        <w:t xml:space="preserve">    transition: background .15s;</w:t>
        <w:br/>
        <w:t xml:space="preserve">    border-left: 4px solid transparent;</w:t>
        <w:br/>
        <w:t>}</w:t>
        <w:br/>
        <w:t>.data-table--rich tbody tr.row--critical {</w:t>
        <w:br/>
        <w:t xml:space="preserve">    background: var(--p-critical-bg);</w:t>
        <w:br/>
        <w:t xml:space="preserve">    border-left-color: var(--danger);</w:t>
        <w:br/>
        <w:t>}</w:t>
        <w:br/>
        <w:t>.data-table--rich tbody tr.row--medium {</w:t>
        <w:br/>
        <w:t xml:space="preserve">    background: var(--p-medium-bg);</w:t>
        <w:br/>
        <w:t xml:space="preserve">    border-left-color: var(--warn);</w:t>
        <w:br/>
        <w:t>}</w:t>
        <w:br/>
        <w:t>.data-table--rich tbody tr.row--low {</w:t>
        <w:br/>
        <w:t xml:space="preserve">    background: var(--p-low-bg);</w:t>
        <w:br/>
        <w:t xml:space="preserve">    border-left-color: var(--success);</w:t>
        <w:br/>
        <w:t>}</w:t>
      </w:r>
    </w:p>
    <w:p>
      <w:pPr>
        <w:spacing w:lineRule="auto" w:line="360" w:before="160" w:after="160"/>
        <w:ind w:firstLine="0"/>
        <w:jc w:val="center"/>
      </w:pPr>
      <w:r>
        <w:rPr>
          <w:rFonts w:ascii="Times New Roman" w:hAnsi="Times New Roman" w:cs="Times New Roman" w:eastAsia="Times New Roman"/>
          <w:b w:val="0"/>
          <w:i/>
          <w:color w:val="333333"/>
          <w:sz w:val="28"/>
        </w:rPr>
        <w:t>{Скриншот: Журнал заявок с цветовой маркировкой строк: критическая заявка с красной заливкой, средняя с жёлтой, низкая с зелёной, закрытые с серой}</w:t>
      </w:r>
    </w:p>
    <w:p>
      <w:pPr>
        <w:spacing w:lineRule="auto" w:line="360" w:before="0" w:after="240"/>
        <w:ind w:firstLine="0"/>
        <w:jc w:val="center"/>
      </w:pPr>
      <w:r>
        <w:rPr>
          <w:rFonts w:ascii="Times New Roman" w:hAnsi="Times New Roman" w:cs="Times New Roman" w:eastAsia="Times New Roman"/>
          <w:b w:val="0"/>
          <w:i w:val="0"/>
          <w:sz w:val="28"/>
        </w:rPr>
        <w:t>Рисунок 3.3 — Цветовая маркировка приоритетов</w:t>
      </w:r>
    </w:p>
    <w:p>
      <w:pPr>
        <w:spacing w:lineRule="auto" w:line="360" w:before="240" w:after="160"/>
        <w:ind w:firstLine="0"/>
        <w:jc w:val="left"/>
      </w:pPr>
      <w:r>
        <w:rPr>
          <w:rFonts w:ascii="Times New Roman" w:hAnsi="Times New Roman" w:cs="Times New Roman" w:eastAsia="Times New Roman"/>
          <w:b/>
          <w:i w:val="0"/>
          <w:sz w:val="28"/>
        </w:rPr>
        <w:t>3.4. Канбан-доска заявок на CSS Grid</w:t>
      </w:r>
    </w:p>
    <w:p>
      <w:pPr>
        <w:spacing w:lineRule="auto" w:line="360" w:before="0" w:after="0"/>
        <w:ind w:firstLine="709"/>
        <w:jc w:val="both"/>
      </w:pPr>
      <w:r>
        <w:rPr>
          <w:rFonts w:ascii="Times New Roman" w:hAnsi="Times New Roman" w:cs="Times New Roman" w:eastAsia="Times New Roman"/>
          <w:b w:val="0"/>
          <w:i w:val="0"/>
          <w:sz w:val="28"/>
        </w:rPr>
        <w:t>Канбан-доска реализована средствами CSS Grid Layout с конфигурацией grid-template-columns: repeat(4, 1fr), что обеспечивает равное распределение четырёх колонок открытых статусов: «Получена», «В работе», «На проверке», «Выполнена». Каждая колонка имеет заголовок с цветной точкой-индикатором и счётчиком количества заявок, а тело колонки содержит список карточек заявок с левой цветной полосой по приоритету. Карточки кликабельны: при щелчке открывается модальное окно с полной информацией.</w:t>
      </w:r>
    </w:p>
    <w:p>
      <w:pPr>
        <w:spacing w:lineRule="auto" w:line="360" w:before="240" w:after="160"/>
        <w:ind w:firstLine="0"/>
        <w:jc w:val="left"/>
      </w:pPr>
      <w:r>
        <w:rPr>
          <w:rFonts w:ascii="Times New Roman" w:hAnsi="Times New Roman" w:cs="Times New Roman" w:eastAsia="Times New Roman"/>
          <w:b/>
          <w:i w:val="0"/>
          <w:sz w:val="28"/>
        </w:rPr>
        <w:t>3.5. Назначение исполнителя «в один клик»</w:t>
      </w:r>
    </w:p>
    <w:p>
      <w:pPr>
        <w:spacing w:lineRule="auto" w:line="360" w:before="0" w:after="0"/>
        <w:ind w:firstLine="709"/>
        <w:jc w:val="both"/>
      </w:pPr>
      <w:r>
        <w:rPr>
          <w:rFonts w:ascii="Times New Roman" w:hAnsi="Times New Roman" w:cs="Times New Roman" w:eastAsia="Times New Roman"/>
          <w:b w:val="0"/>
          <w:i w:val="0"/>
          <w:sz w:val="28"/>
        </w:rPr>
        <w:t>Назначение исполнителя выполнено принципиально без промежуточных модальных окон. В каждой строке таблицы «Журнал заявок» в колонке «Исполнитель» отображается выпадающий список &lt;select&gt; с перечнем активных техников и инженеров. Выбор сотрудника из списка немедленно инициирует POST-запрос /api/requests/{id}/assign и при успехе обновляет таблицу. Это даёт диспетчеру максимально быстрый рабочий процесс — назначение выполняется за один щелчок мыши без открытия карточек.</w:t>
      </w:r>
    </w:p>
    <w:p>
      <w:pPr>
        <w:spacing w:lineRule="auto" w:line="360" w:before="0" w:after="0"/>
        <w:ind w:firstLine="709"/>
        <w:jc w:val="both"/>
      </w:pPr>
      <w:r>
        <w:rPr>
          <w:rFonts w:ascii="Times New Roman" w:hAnsi="Times New Roman" w:cs="Times New Roman" w:eastAsia="Times New Roman"/>
          <w:b w:val="0"/>
          <w:i w:val="0"/>
          <w:sz w:val="28"/>
        </w:rPr>
        <w:t>Дополнительно серверная логика выполняет «умное» поведение: если на момент назначения заявка была в статусе «Получена», она автоматически переводится в статус «В работе» и фиксируется поле started_at — это соответствует реальной бизнес-логике предприятия (назначение исполнителя = начало работ).</w:t>
      </w:r>
    </w:p>
    <w:p>
      <w:pPr>
        <w:spacing w:lineRule="auto" w:line="360" w:before="160" w:after="160"/>
        <w:ind w:firstLine="0"/>
        <w:jc w:val="center"/>
      </w:pPr>
      <w:r>
        <w:rPr>
          <w:rFonts w:ascii="Times New Roman" w:hAnsi="Times New Roman" w:cs="Times New Roman" w:eastAsia="Times New Roman"/>
          <w:b w:val="0"/>
          <w:i/>
          <w:color w:val="333333"/>
          <w:sz w:val="28"/>
        </w:rPr>
        <w:t>{Скриншот: Журнал заявок с раскрытым выпадающим списком исполнителей в колонке «Исполнитель» — назначение в один клик без промежуточных модалок}</w:t>
      </w:r>
    </w:p>
    <w:p>
      <w:pPr>
        <w:spacing w:lineRule="auto" w:line="360" w:before="0" w:after="240"/>
        <w:ind w:firstLine="0"/>
        <w:jc w:val="center"/>
      </w:pPr>
      <w:r>
        <w:rPr>
          <w:rFonts w:ascii="Times New Roman" w:hAnsi="Times New Roman" w:cs="Times New Roman" w:eastAsia="Times New Roman"/>
          <w:b w:val="0"/>
          <w:i w:val="0"/>
          <w:sz w:val="28"/>
        </w:rPr>
        <w:t>Рисунок 3.4 — Назначение исполнителя в один клик</w:t>
      </w:r>
    </w:p>
    <w:p>
      <w:pPr>
        <w:spacing w:lineRule="auto" w:line="360" w:before="240" w:after="160"/>
        <w:ind w:firstLine="0"/>
        <w:jc w:val="left"/>
      </w:pPr>
      <w:r>
        <w:rPr>
          <w:rFonts w:ascii="Times New Roman" w:hAnsi="Times New Roman" w:cs="Times New Roman" w:eastAsia="Times New Roman"/>
          <w:b/>
          <w:i w:val="0"/>
          <w:sz w:val="28"/>
        </w:rPr>
        <w:t>3.6. Динамическое закрытие заявки и Fetch API</w:t>
      </w:r>
    </w:p>
    <w:p>
      <w:pPr>
        <w:spacing w:lineRule="auto" w:line="360" w:before="0" w:after="0"/>
        <w:ind w:firstLine="709"/>
        <w:jc w:val="both"/>
      </w:pPr>
      <w:r>
        <w:rPr>
          <w:rFonts w:ascii="Times New Roman" w:hAnsi="Times New Roman" w:cs="Times New Roman" w:eastAsia="Times New Roman"/>
          <w:b w:val="0"/>
          <w:i w:val="0"/>
          <w:sz w:val="28"/>
        </w:rPr>
        <w:t>Модальное окно карточки заявки содержит интегрированную форму закрытия с динамическим добавлением строк запчастей: JavaScript-функция addRow() клонирует шаблон строки с выпадающим списком позиций склада и полем количества; пользователь может добавить произвольное число строк или удалить лишние. При отправке формы клиент собирает массив parts_used и выполняет POST-запрос на /api/requests/{id}/complete. При успешном ответе модальное окно закрывается, выполняется повторная загрузка справочников (включая обновлённые остатки на складе) и перерисовка всех видимых разделов. При ошибке (например, нехватка запчастей) клиент выводит сообщение от сервера во всплывающем уведомлении (toast) красного цвета.</w:t>
      </w:r>
    </w:p>
    <w:p>
      <w:pPr>
        <w:spacing w:lineRule="auto" w:line="276" w:before="80" w:after="160"/>
        <w:ind w:firstLine="0"/>
        <w:jc w:val="left"/>
      </w:pPr>
      <w:r>
        <w:rPr>
          <w:rFonts w:ascii="Courier New" w:hAnsi="Courier New" w:cs="Courier New"/>
          <w:sz w:val="22"/>
        </w:rPr>
        <w:t>completeForm.addEventListener('submit', async e =&gt; {</w:t>
        <w:br/>
        <w:t xml:space="preserve">    e.preventDefault();</w:t>
        <w:br/>
        <w:t xml:space="preserve">    const parts_used = Array.from(partsRows.querySelectorAll('div'))</w:t>
        <w:br/>
        <w:t xml:space="preserve">        .map(row =&gt; ({</w:t>
        <w:br/>
        <w:t xml:space="preserve">            part_id:  +row.querySelector('.part-sel').value,</w:t>
        <w:br/>
        <w:t xml:space="preserve">            quantity: +row.querySelector('.part-qty').value,</w:t>
        <w:br/>
        <w:t xml:space="preserve">        }));</w:t>
        <w:br/>
        <w:t xml:space="preserve">    try {</w:t>
        <w:br/>
        <w:t xml:space="preserve">        await apiPost(`/api/requests/${requestId}/complete`,</w:t>
        <w:br/>
        <w:t xml:space="preserve">                      { parts_used, completion_note });</w:t>
        <w:br/>
        <w:t xml:space="preserve">        toast('Заявка закрыта, запчасти списаны', 'success');</w:t>
        <w:br/>
        <w:t xml:space="preserve">        closeModal();</w:t>
        <w:br/>
        <w:t xml:space="preserve">        await preload();</w:t>
        <w:br/>
        <w:t xml:space="preserve">        renderRequests(); renderBoard(); renderDashboard();</w:t>
        <w:br/>
        <w:t xml:space="preserve">    } catch (err) { toast(err.message, 'error'); }</w:t>
        <w:br/>
        <w:t>});</w:t>
      </w:r>
    </w:p>
    <w:p>
      <w:pPr>
        <w:spacing w:lineRule="auto" w:line="360" w:before="240" w:after="160"/>
        <w:ind w:firstLine="0"/>
        <w:jc w:val="left"/>
      </w:pPr>
      <w:r>
        <w:rPr>
          <w:rFonts w:ascii="Times New Roman" w:hAnsi="Times New Roman" w:cs="Times New Roman" w:eastAsia="Times New Roman"/>
          <w:b/>
          <w:i w:val="0"/>
          <w:sz w:val="28"/>
        </w:rPr>
        <w:t>3.7. Адаптивная вёрстка</w:t>
      </w:r>
    </w:p>
    <w:p>
      <w:pPr>
        <w:spacing w:lineRule="auto" w:line="360" w:before="0" w:after="0"/>
        <w:ind w:firstLine="709"/>
        <w:jc w:val="both"/>
      </w:pPr>
      <w:r>
        <w:rPr>
          <w:rFonts w:ascii="Times New Roman" w:hAnsi="Times New Roman" w:cs="Times New Roman" w:eastAsia="Times New Roman"/>
          <w:b w:val="0"/>
          <w:i w:val="0"/>
          <w:sz w:val="28"/>
        </w:rPr>
        <w:t>Интерфейс адаптирован для отображения на устройствах с шириной экрана от 360 пикселей и выше. На устройствах планшетной ширины (@media max-width: 1100px) сетка KPI перестраивается из четырёхколоночной в двухколоночную, а канбан-доска — из четырёхколоночной в двухколоночную (колонки переносятся). На смартфонах (@media max-width: 768px) ширина боковой панели сжимается до 72 пикселей, оставляя только иконки пунктов меню; канбан становится одноколоночным; таблицы сохраняют горизонтальную прокрутку.</w:t>
      </w:r>
    </w:p>
    <w:p>
      <w:pPr>
        <w:spacing w:lineRule="auto" w:line="360" w:before="160" w:after="160"/>
        <w:ind w:firstLine="0"/>
        <w:jc w:val="center"/>
      </w:pPr>
      <w:r>
        <w:rPr>
          <w:rFonts w:ascii="Times New Roman" w:hAnsi="Times New Roman" w:cs="Times New Roman" w:eastAsia="Times New Roman"/>
          <w:b w:val="0"/>
          <w:i/>
          <w:color w:val="333333"/>
          <w:sz w:val="28"/>
        </w:rPr>
        <w:t>{Скриншот: Параллельный показ интерфейса в трёх разрешениях: десктоп (1920×1080), планшет (1024×768), смартфон (375×812) — на смартфоне sidebar сжимается, остаются только иконки}</w:t>
      </w:r>
    </w:p>
    <w:p>
      <w:pPr>
        <w:spacing w:lineRule="auto" w:line="360" w:before="0" w:after="240"/>
        <w:ind w:firstLine="0"/>
        <w:jc w:val="center"/>
      </w:pPr>
      <w:r>
        <w:rPr>
          <w:rFonts w:ascii="Times New Roman" w:hAnsi="Times New Roman" w:cs="Times New Roman" w:eastAsia="Times New Roman"/>
          <w:b w:val="0"/>
          <w:i w:val="0"/>
          <w:sz w:val="28"/>
        </w:rPr>
        <w:t>Рисунок 3.5 — Адаптивность интерфейса</w:t>
      </w:r>
    </w:p>
    <w:p>
      <w:pPr>
        <w:spacing w:lineRule="auto" w:line="360" w:before="240" w:after="160"/>
        <w:ind w:firstLine="0"/>
        <w:jc w:val="left"/>
      </w:pPr>
      <w:r>
        <w:rPr>
          <w:rFonts w:ascii="Times New Roman" w:hAnsi="Times New Roman" w:cs="Times New Roman" w:eastAsia="Times New Roman"/>
          <w:b/>
          <w:i w:val="0"/>
          <w:sz w:val="28"/>
        </w:rPr>
        <w:t>3.8. Соответствие 10 эвристикам Якоба Нильсена</w:t>
      </w:r>
    </w:p>
    <w:p>
      <w:pPr>
        <w:spacing w:lineRule="auto" w:line="360" w:before="0" w:after="0"/>
        <w:ind w:firstLine="709"/>
        <w:jc w:val="both"/>
      </w:pPr>
      <w:r>
        <w:rPr>
          <w:rFonts w:ascii="Times New Roman" w:hAnsi="Times New Roman" w:cs="Times New Roman" w:eastAsia="Times New Roman"/>
          <w:b w:val="0"/>
          <w:i w:val="0"/>
          <w:sz w:val="28"/>
        </w:rPr>
        <w:t>При проектировании пользовательского интерфейса разработчик опирался на классический свод юзабилити-эвристик Якоба Нильсена (1994), ставший де-факто стандартом для эвристической оценки интерактивных систем. Ниже приведено соответствие каждой эвристики конкретным дизайн-решениям системы диспетчера.</w:t>
      </w:r>
    </w:p>
    <w:tbl>
      <w:tblPr>
        <w:tblStyle w:val="TableGrid"/>
        <w:tblW w:type="auto" w:w="0"/>
        <w:jc w:val="center"/>
        <w:tblLook w:firstColumn="1" w:firstRow="1" w:lastColumn="0" w:lastRow="0" w:noHBand="0" w:noVBand="1" w:val="04A0"/>
      </w:tblPr>
      <w:tblGrid>
        <w:gridCol w:w="3324"/>
        <w:gridCol w:w="3324"/>
        <w:gridCol w:w="3324"/>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2551"/>
            <w:vAlign w:val="center"/>
          </w:tcPr>
          <w:p>
            <w:pPr>
              <w:spacing w:lineRule="auto" w:line="276" w:before="0" w:after="0"/>
              <w:ind w:firstLine="0"/>
              <w:jc w:val="center"/>
            </w:pPr>
            <w:r/>
            <w:r>
              <w:rPr>
                <w:rFonts w:ascii="Times New Roman" w:hAnsi="Times New Roman" w:cs="Times New Roman" w:eastAsia="Times New Roman"/>
                <w:b/>
                <w:i w:val="0"/>
                <w:sz w:val="28"/>
              </w:rPr>
              <w:t>Эвристика</w:t>
            </w:r>
          </w:p>
        </w:tc>
        <w:tc>
          <w:tcPr>
            <w:tcW w:type="dxa" w:w="5953"/>
            <w:vAlign w:val="center"/>
          </w:tcPr>
          <w:p>
            <w:pPr>
              <w:spacing w:lineRule="auto" w:line="276" w:before="0" w:after="0"/>
              <w:ind w:firstLine="0"/>
              <w:jc w:val="center"/>
            </w:pPr>
            <w:r/>
            <w:r>
              <w:rPr>
                <w:rFonts w:ascii="Times New Roman" w:hAnsi="Times New Roman" w:cs="Times New Roman" w:eastAsia="Times New Roman"/>
                <w:b/>
                <w:i w:val="0"/>
                <w:sz w:val="28"/>
              </w:rPr>
              <w:t>Реализация в системе</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Видимость состояния системы</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KPI открытых заявок на Dashboard, счётчики в колонках канбана, всплывающие toast-уведомления</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2</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Соответствие системы реальному миру</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Терминология «заявка», «исполнитель», «запчасть», «склад» — лексика технической службы</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3</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Свобода и контроль пользователя</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Закрытие модальных окон по Esc, отмена назначения через повторный выбор «—»</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Согласованность и стандарты</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Единая палитра приоритетов на всех экранах, унификация форм и кнопок</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Предотвращение ошибок</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Атрибут data-act на кнопках действий, проверка остатков до списания</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Узнавание вместо припоминания</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Выпадающие списки исполнителей и статусов, цветовая маркировка заявок</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7</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Гибкость и эффективность</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Назначение «в один клик», фильтры через query-параметры</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8</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Эстетичный и минималистичный дизайн</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Пастельная палитра, отказ от декоративных элементов, единичная плотность KPI</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9</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Помощь в распознавании ошибок</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Сообщение «Недостаточно X: требуется N, доступно M» вместо абстрактного отказа</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10</w:t>
            </w:r>
          </w:p>
        </w:tc>
        <w:tc>
          <w:tcPr>
            <w:tcW w:type="dxa" w:w="2551"/>
            <w:vAlign w:val="center"/>
          </w:tcPr>
          <w:p>
            <w:pPr>
              <w:spacing w:lineRule="auto" w:line="276" w:before="0" w:after="0"/>
              <w:ind w:firstLine="0"/>
              <w:jc w:val="left"/>
            </w:pPr>
            <w:r/>
            <w:r>
              <w:rPr>
                <w:rFonts w:ascii="Times New Roman" w:hAnsi="Times New Roman" w:cs="Times New Roman" w:eastAsia="Times New Roman"/>
                <w:b w:val="0"/>
                <w:i w:val="0"/>
                <w:sz w:val="28"/>
              </w:rPr>
              <w:t>Справка и документация</w:t>
            </w:r>
          </w:p>
        </w:tc>
        <w:tc>
          <w:tcPr>
            <w:tcW w:type="dxa" w:w="5953"/>
            <w:vAlign w:val="center"/>
          </w:tcPr>
          <w:p>
            <w:pPr>
              <w:spacing w:lineRule="auto" w:line="276" w:before="0" w:after="0"/>
              <w:ind w:firstLine="0"/>
              <w:jc w:val="left"/>
            </w:pPr>
            <w:r/>
            <w:r>
              <w:rPr>
                <w:rFonts w:ascii="Times New Roman" w:hAnsi="Times New Roman" w:cs="Times New Roman" w:eastAsia="Times New Roman"/>
                <w:b w:val="0"/>
                <w:i w:val="0"/>
                <w:sz w:val="28"/>
              </w:rPr>
              <w:t>Подсказки в полях ввода (placeholder), интерактивная справка Swagger UI</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3.1 — Соответствие эвристикам Нильсена</w:t>
      </w:r>
    </w:p>
    <w:p>
      <w:pPr>
        <w:spacing w:lineRule="auto" w:line="360" w:before="0" w:after="0"/>
        <w:ind w:firstLine="709"/>
        <w:jc w:val="both"/>
      </w:pPr>
      <w:r>
        <w:rPr>
          <w:rFonts w:ascii="Times New Roman" w:hAnsi="Times New Roman" w:cs="Times New Roman" w:eastAsia="Times New Roman"/>
          <w:b w:val="0"/>
          <w:i w:val="0"/>
          <w:sz w:val="28"/>
        </w:rPr>
        <w:t>Особо отметим реализацию пятой эвристики «предотвращение ошибок». Для всех бизнес-действий, имеющих побочные эффекты (удаление, закрытие, переназначение), в HTML-разметке используется единый атрибут data-act со значением, точно описывающим операцию: data-act="close-request", data-act="reassign". Это позволяет глобальному обработчику кликов перехватывать действия по семантике, а не по DOM-структуре, и при необходимости вставлять диалог подтверждения однообразно для всего интерфейса.</w:t>
      </w:r>
    </w:p>
    <w:p>
      <w:pPr>
        <w:spacing w:lineRule="auto" w:line="360" w:before="240" w:after="160"/>
        <w:ind w:firstLine="0"/>
        <w:jc w:val="left"/>
      </w:pPr>
      <w:r>
        <w:rPr>
          <w:rFonts w:ascii="Times New Roman" w:hAnsi="Times New Roman" w:cs="Times New Roman" w:eastAsia="Times New Roman"/>
          <w:b/>
          <w:i w:val="0"/>
          <w:sz w:val="28"/>
        </w:rPr>
        <w:t>3.9. Информационная плотность по Тафти</w:t>
      </w:r>
    </w:p>
    <w:p>
      <w:pPr>
        <w:spacing w:lineRule="auto" w:line="360" w:before="0" w:after="0"/>
        <w:ind w:firstLine="709"/>
        <w:jc w:val="both"/>
      </w:pPr>
      <w:r>
        <w:rPr>
          <w:rFonts w:ascii="Times New Roman" w:hAnsi="Times New Roman" w:cs="Times New Roman" w:eastAsia="Times New Roman"/>
          <w:b w:val="0"/>
          <w:i w:val="0"/>
          <w:sz w:val="28"/>
        </w:rPr>
        <w:t>Концепция информационной плотности (data-ink ratio), введённая Эдвардом Тафти в книге «The Visual Display of Quantitative Information» (1983), требует от графического представления максимизации соотношения «содержательная информация» / «общее количество графики». Применительно к административным интерфейсам это означает, что каждый пиксель экрана должен нести смысл — либо данные, либо подсказку к действию, либо визуальный ориентир.</w:t>
      </w:r>
    </w:p>
    <w:p>
      <w:pPr>
        <w:spacing w:lineRule="auto" w:line="360" w:before="0" w:after="0"/>
        <w:ind w:firstLine="709"/>
        <w:jc w:val="both"/>
      </w:pPr>
      <w:r>
        <w:rPr>
          <w:rFonts w:ascii="Times New Roman" w:hAnsi="Times New Roman" w:cs="Times New Roman" w:eastAsia="Times New Roman"/>
          <w:b w:val="0"/>
          <w:i w:val="0"/>
          <w:sz w:val="28"/>
        </w:rPr>
        <w:t>В разработанном интерфейсе следование принципам Тафти проявлено в нескольких приёмах. Во-первых, KPI-блоки на Dashboard представлены крупным числом (одно значение, сразу различимое) и коротким пояснением — без декоративных рамок, теней и градиентов. Во-вторых, цветные «пилюли» статусов и приоритетов в строках таблицы заменяют целые столбцы текстовых меток, что повышает информационную плотность без потери ясности. В-третьих, числа «остаток / минимум» в журнале запчастей представлены через слэш (12/5), что вдвое сокращает требуемую ширину столбца по сравнению с раздельным отображением.</w:t>
      </w:r>
    </w:p>
    <w:p>
      <w:pPr>
        <w:spacing w:lineRule="auto" w:line="360" w:before="0" w:after="0"/>
        <w:ind w:firstLine="709"/>
        <w:jc w:val="both"/>
      </w:pPr>
      <w:r>
        <w:rPr>
          <w:rFonts w:ascii="Times New Roman" w:hAnsi="Times New Roman" w:cs="Times New Roman" w:eastAsia="Times New Roman"/>
          <w:b w:val="0"/>
          <w:i w:val="0"/>
          <w:sz w:val="28"/>
        </w:rPr>
        <w:t>Сознательно отвергнуты типовые «декоративные» элементы корпоративных интерфейсов: тяжёлые тени, градиентные кнопки, иконки с собственными цветовыми обводками. Каждый визуальный элемент должен иметь функциональное обоснование — это формирует «спокойный» интерфейс, способный сопровождать оператора в течение 8-часовой смены без зрительного утомления.</w:t>
      </w:r>
    </w:p>
    <w:p>
      <w:pPr>
        <w:spacing w:lineRule="auto" w:line="360" w:before="240" w:after="160"/>
        <w:ind w:firstLine="0"/>
        <w:jc w:val="left"/>
      </w:pPr>
      <w:r>
        <w:rPr>
          <w:rFonts w:ascii="Times New Roman" w:hAnsi="Times New Roman" w:cs="Times New Roman" w:eastAsia="Times New Roman"/>
          <w:b/>
          <w:i w:val="0"/>
          <w:sz w:val="28"/>
        </w:rPr>
        <w:t>3.10. Канбан-методология и принципы Lean</w:t>
      </w:r>
    </w:p>
    <w:p>
      <w:pPr>
        <w:spacing w:lineRule="auto" w:line="360" w:before="0" w:after="0"/>
        <w:ind w:firstLine="709"/>
        <w:jc w:val="both"/>
      </w:pPr>
      <w:r>
        <w:rPr>
          <w:rFonts w:ascii="Times New Roman" w:hAnsi="Times New Roman" w:cs="Times New Roman" w:eastAsia="Times New Roman"/>
          <w:b w:val="0"/>
          <w:i w:val="0"/>
          <w:sz w:val="28"/>
        </w:rPr>
        <w:t>Канбан-доска заявок реализует визуальное представление потока работ, восходящее к производственной системе компании Toyota и методологии Lean Manufacturing. Применительно к ремонтной службе четыре колонки доски — «Получена», «В работе», «На проверке», «Выполнена» — соответствуют этапам потока ценности (value stream): от обнаружения проблемы до её устранения и закрытия.</w:t>
      </w:r>
    </w:p>
    <w:p>
      <w:pPr>
        <w:spacing w:lineRule="auto" w:line="360" w:before="0" w:after="0"/>
        <w:ind w:firstLine="709"/>
        <w:jc w:val="both"/>
      </w:pPr>
      <w:r>
        <w:rPr>
          <w:rFonts w:ascii="Times New Roman" w:hAnsi="Times New Roman" w:cs="Times New Roman" w:eastAsia="Times New Roman"/>
          <w:b w:val="0"/>
          <w:i w:val="0"/>
          <w:sz w:val="28"/>
        </w:rPr>
        <w:t>Принципы Lean, реализованные в канбан-доске:</w:t>
      </w:r>
    </w:p>
    <w:p>
      <w:pPr>
        <w:spacing w:lineRule="auto" w:line="360" w:before="0" w:after="0"/>
        <w:ind w:left="709" w:hanging="283"/>
        <w:jc w:val="both"/>
      </w:pPr>
      <w:r>
        <w:rPr>
          <w:rFonts w:ascii="Times New Roman" w:hAnsi="Times New Roman" w:cs="Times New Roman" w:eastAsia="Times New Roman"/>
          <w:b w:val="0"/>
          <w:i w:val="0"/>
          <w:sz w:val="28"/>
        </w:rPr>
        <w:t>— Визуализация потока (Visualize Workflow) — все открытые заявки одновременно видны в виде карточек, что устраняет «невидимую работу» и позволяет диспетчеру оценить общий загрузочный поток службы;</w:t>
      </w:r>
    </w:p>
    <w:p>
      <w:pPr>
        <w:spacing w:lineRule="auto" w:line="360" w:before="0" w:after="0"/>
        <w:ind w:left="709" w:hanging="283"/>
        <w:jc w:val="both"/>
      </w:pPr>
      <w:r>
        <w:rPr>
          <w:rFonts w:ascii="Times New Roman" w:hAnsi="Times New Roman" w:cs="Times New Roman" w:eastAsia="Times New Roman"/>
          <w:b w:val="0"/>
          <w:i w:val="0"/>
          <w:sz w:val="28"/>
        </w:rPr>
        <w:t>— Ограничение незавершённой работы (Limit Work-in-Progress, WIP) — счётчики в заголовках колонок служат индикатором перегрузки этапа; превышение нормального уровня WIP сигнализирует о необходимости перераспределения нагрузки или усиления штата;</w:t>
      </w:r>
    </w:p>
    <w:p>
      <w:pPr>
        <w:spacing w:lineRule="auto" w:line="360" w:before="0" w:after="0"/>
        <w:ind w:left="709" w:hanging="283"/>
        <w:jc w:val="both"/>
      </w:pPr>
      <w:r>
        <w:rPr>
          <w:rFonts w:ascii="Times New Roman" w:hAnsi="Times New Roman" w:cs="Times New Roman" w:eastAsia="Times New Roman"/>
          <w:b w:val="0"/>
          <w:i w:val="0"/>
          <w:sz w:val="28"/>
        </w:rPr>
        <w:t>— Управление потоком (Manage Flow) — сосредоточение внимания на устранении заявок, длительно находящихся в одной колонке (обнаружение «застрявших» заявок по полю created_at);</w:t>
      </w:r>
    </w:p>
    <w:p>
      <w:pPr>
        <w:spacing w:lineRule="auto" w:line="360" w:before="0" w:after="0"/>
        <w:ind w:left="709" w:hanging="283"/>
        <w:jc w:val="both"/>
      </w:pPr>
      <w:r>
        <w:rPr>
          <w:rFonts w:ascii="Times New Roman" w:hAnsi="Times New Roman" w:cs="Times New Roman" w:eastAsia="Times New Roman"/>
          <w:b w:val="0"/>
          <w:i w:val="0"/>
          <w:sz w:val="28"/>
        </w:rPr>
        <w:t>— Явная политика (Make Policies Explicit) — цветовая маркировка и SLA отображаются на карточках, что делает приоритеты прозрачными для всех участников;</w:t>
      </w:r>
    </w:p>
    <w:p>
      <w:pPr>
        <w:spacing w:lineRule="auto" w:line="360" w:before="0" w:after="0"/>
        <w:ind w:left="709" w:hanging="283"/>
        <w:jc w:val="both"/>
      </w:pPr>
      <w:r>
        <w:rPr>
          <w:rFonts w:ascii="Times New Roman" w:hAnsi="Times New Roman" w:cs="Times New Roman" w:eastAsia="Times New Roman"/>
          <w:b w:val="0"/>
          <w:i w:val="0"/>
          <w:sz w:val="28"/>
        </w:rPr>
        <w:t>— Непрерывное совершенствование (Kaizen) — статистика по времени нахождения заявок в каждом статусе формирует основу для ретроспектив и оптимизации процессов.</w:t>
      </w:r>
    </w:p>
    <w:p>
      <w:pPr>
        <w:spacing w:lineRule="auto" w:line="360" w:before="0" w:after="0"/>
        <w:ind w:firstLine="709"/>
        <w:jc w:val="both"/>
      </w:pPr>
      <w:r>
        <w:rPr>
          <w:rFonts w:ascii="Times New Roman" w:hAnsi="Times New Roman" w:cs="Times New Roman" w:eastAsia="Times New Roman"/>
          <w:b w:val="0"/>
          <w:i w:val="0"/>
          <w:sz w:val="28"/>
        </w:rPr>
        <w:t>Канбан-карточка содержит минимально необходимый набор атрибутов: краткое название заявки, наименование оборудования с инвентарным номером, пилюлю приоритета и аватар-инициалы исполнителя. Расширенная информация открывается по клику в модальном окне — это следует принципу progressive disclosure (поэтапного раскрытия), не перегружая внимание оператора при общем обзоре доски.</w:t>
      </w:r>
    </w:p>
    <w:p>
      <w:pPr>
        <w:spacing w:lineRule="auto" w:line="360" w:before="240" w:after="160"/>
        <w:ind w:firstLine="0"/>
        <w:jc w:val="left"/>
      </w:pPr>
      <w:r>
        <w:rPr>
          <w:rFonts w:ascii="Times New Roman" w:hAnsi="Times New Roman" w:cs="Times New Roman" w:eastAsia="Times New Roman"/>
          <w:b/>
          <w:i w:val="0"/>
          <w:sz w:val="28"/>
        </w:rPr>
        <w:t>3.11. Доступность по WCAG 2.1 AA</w:t>
      </w:r>
    </w:p>
    <w:p>
      <w:pPr>
        <w:spacing w:lineRule="auto" w:line="360" w:before="0" w:after="0"/>
        <w:ind w:firstLine="709"/>
        <w:jc w:val="both"/>
      </w:pPr>
      <w:r>
        <w:rPr>
          <w:rFonts w:ascii="Times New Roman" w:hAnsi="Times New Roman" w:cs="Times New Roman" w:eastAsia="Times New Roman"/>
          <w:b w:val="0"/>
          <w:i w:val="0"/>
          <w:sz w:val="28"/>
        </w:rPr>
        <w:t>Web Content Accessibility Guidelines (WCAG) 2.1 Level AA являются международно признанным стандартом доступности веб-интерфейсов для пользователей с различными ограничениями зрения, моторики или когнитивных возможностей. При проектировании корпоративных систем учёт доступности необходим и из соображений юридической compliance, и из практических: ремонтная служба может включать сотрудников старшего возраста с возрастной потерей остроты зрения.</w:t>
      </w:r>
    </w:p>
    <w:p>
      <w:pPr>
        <w:spacing w:lineRule="auto" w:line="360" w:before="0" w:after="0"/>
        <w:ind w:firstLine="709"/>
        <w:jc w:val="both"/>
      </w:pPr>
      <w:r>
        <w:rPr>
          <w:rFonts w:ascii="Times New Roman" w:hAnsi="Times New Roman" w:cs="Times New Roman" w:eastAsia="Times New Roman"/>
          <w:b w:val="0"/>
          <w:i w:val="0"/>
          <w:sz w:val="28"/>
        </w:rPr>
        <w:t>Ключевое требование WCAG 2.1 AA — коэффициент контрастности текста к фону не ниже 4.5:1 для обычного текста и 3:1 для крупного. В системе все сочетания «насыщенный текст / пастельный фон» (например, #B91C1C на #FEE2E2) проверены через WebAIM Contrast Checker и показали значения 8.6:1, 7.3:1, 6.9:1 соответственно — значительно выше пороговых.</w:t>
      </w:r>
    </w:p>
    <w:p>
      <w:pPr>
        <w:spacing w:lineRule="auto" w:line="360" w:before="0" w:after="0"/>
        <w:ind w:firstLine="709"/>
        <w:jc w:val="both"/>
      </w:pPr>
      <w:r>
        <w:rPr>
          <w:rFonts w:ascii="Times New Roman" w:hAnsi="Times New Roman" w:cs="Times New Roman" w:eastAsia="Times New Roman"/>
          <w:b w:val="0"/>
          <w:i w:val="0"/>
          <w:sz w:val="28"/>
        </w:rPr>
        <w:t>Семантическая разметка обеспечивает корректное восприятие интерфейса программами экранного доступа (screen reader). Боковая панель размечена тегом &lt;nav role="navigation"&gt;, табличные представления используют корректные &lt;thead&gt; и &lt;th scope="col"&gt;, цветные пилюли статусов сопровождаются текстовым содержимым (не только цветом). Канбан-доска обходится с клавиатуры через Tab, при этом карточки имеют корректные значения tabindex и видимый focus-ring.</w:t>
      </w:r>
    </w:p>
    <w:p>
      <w:pPr>
        <w:spacing w:lineRule="auto" w:line="360" w:before="0" w:after="0"/>
        <w:ind w:firstLine="709"/>
        <w:jc w:val="both"/>
      </w:pPr>
      <w:r>
        <w:rPr>
          <w:rFonts w:ascii="Times New Roman" w:hAnsi="Times New Roman" w:cs="Times New Roman" w:eastAsia="Times New Roman"/>
          <w:b w:val="0"/>
          <w:i w:val="0"/>
          <w:sz w:val="28"/>
        </w:rPr>
        <w:t>Реализованные требования WCAG 2.1 AA:</w:t>
      </w:r>
    </w:p>
    <w:p>
      <w:pPr>
        <w:spacing w:lineRule="auto" w:line="360" w:before="0" w:after="0"/>
        <w:ind w:left="709" w:hanging="283"/>
        <w:jc w:val="both"/>
      </w:pPr>
      <w:r>
        <w:rPr>
          <w:rFonts w:ascii="Times New Roman" w:hAnsi="Times New Roman" w:cs="Times New Roman" w:eastAsia="Times New Roman"/>
          <w:b w:val="0"/>
          <w:i w:val="0"/>
          <w:sz w:val="28"/>
        </w:rPr>
        <w:t>— 1.4.3 Контраст (Минимум) — все сочетания цветов проверены, минимум 4.5:1;</w:t>
      </w:r>
    </w:p>
    <w:p>
      <w:pPr>
        <w:spacing w:lineRule="auto" w:line="360" w:before="0" w:after="0"/>
        <w:ind w:left="709" w:hanging="283"/>
        <w:jc w:val="both"/>
      </w:pPr>
      <w:r>
        <w:rPr>
          <w:rFonts w:ascii="Times New Roman" w:hAnsi="Times New Roman" w:cs="Times New Roman" w:eastAsia="Times New Roman"/>
          <w:b w:val="0"/>
          <w:i w:val="0"/>
          <w:sz w:val="28"/>
        </w:rPr>
        <w:t>— 1.4.11 Контраст элементов интерфейса — границы кнопок и полей ввода ≥ 3:1;</w:t>
      </w:r>
    </w:p>
    <w:p>
      <w:pPr>
        <w:spacing w:lineRule="auto" w:line="360" w:before="0" w:after="0"/>
        <w:ind w:left="709" w:hanging="283"/>
        <w:jc w:val="both"/>
      </w:pPr>
      <w:r>
        <w:rPr>
          <w:rFonts w:ascii="Times New Roman" w:hAnsi="Times New Roman" w:cs="Times New Roman" w:eastAsia="Times New Roman"/>
          <w:b w:val="0"/>
          <w:i w:val="0"/>
          <w:sz w:val="28"/>
        </w:rPr>
        <w:t>— 2.1.1 Клавиатура — все интерактивные элементы доступны через Tab, Enter, Esc;</w:t>
      </w:r>
    </w:p>
    <w:p>
      <w:pPr>
        <w:spacing w:lineRule="auto" w:line="360" w:before="0" w:after="0"/>
        <w:ind w:left="709" w:hanging="283"/>
        <w:jc w:val="both"/>
      </w:pPr>
      <w:r>
        <w:rPr>
          <w:rFonts w:ascii="Times New Roman" w:hAnsi="Times New Roman" w:cs="Times New Roman" w:eastAsia="Times New Roman"/>
          <w:b w:val="0"/>
          <w:i w:val="0"/>
          <w:sz w:val="28"/>
        </w:rPr>
        <w:t>— 2.4.7 Видимый фокус — focus-ring на всех интерактивных элементах;</w:t>
      </w:r>
    </w:p>
    <w:p>
      <w:pPr>
        <w:spacing w:lineRule="auto" w:line="360" w:before="0" w:after="0"/>
        <w:ind w:left="709" w:hanging="283"/>
        <w:jc w:val="both"/>
      </w:pPr>
      <w:r>
        <w:rPr>
          <w:rFonts w:ascii="Times New Roman" w:hAnsi="Times New Roman" w:cs="Times New Roman" w:eastAsia="Times New Roman"/>
          <w:b w:val="0"/>
          <w:i w:val="0"/>
          <w:sz w:val="28"/>
        </w:rPr>
        <w:t>— 1.3.1 Информация и взаимосвязи — семантическая HTML5-разметка с landmarks;</w:t>
      </w:r>
    </w:p>
    <w:p>
      <w:pPr>
        <w:spacing w:lineRule="auto" w:line="360" w:before="0" w:after="0"/>
        <w:ind w:left="709" w:hanging="283"/>
        <w:jc w:val="both"/>
      </w:pPr>
      <w:r>
        <w:rPr>
          <w:rFonts w:ascii="Times New Roman" w:hAnsi="Times New Roman" w:cs="Times New Roman" w:eastAsia="Times New Roman"/>
          <w:b w:val="0"/>
          <w:i w:val="0"/>
          <w:sz w:val="28"/>
        </w:rPr>
        <w:t>— 1.4.4 Изменение размера текста — интерфейс корректно масштабируется до 200%.</w:t>
      </w:r>
    </w:p>
    <w:p>
      <w:pPr>
        <w:spacing w:lineRule="auto" w:line="360" w:before="240" w:after="160"/>
        <w:ind w:firstLine="0"/>
        <w:jc w:val="left"/>
      </w:pPr>
      <w:r>
        <w:rPr>
          <w:rFonts w:ascii="Times New Roman" w:hAnsi="Times New Roman" w:cs="Times New Roman" w:eastAsia="Times New Roman"/>
          <w:b/>
          <w:i w:val="0"/>
          <w:sz w:val="28"/>
        </w:rPr>
        <w:t>3.12. Производительность и Core Web Vitals</w:t>
      </w:r>
    </w:p>
    <w:p>
      <w:pPr>
        <w:spacing w:lineRule="auto" w:line="360" w:before="0" w:after="0"/>
        <w:ind w:firstLine="709"/>
        <w:jc w:val="both"/>
      </w:pPr>
      <w:r>
        <w:rPr>
          <w:rFonts w:ascii="Times New Roman" w:hAnsi="Times New Roman" w:cs="Times New Roman" w:eastAsia="Times New Roman"/>
          <w:b w:val="0"/>
          <w:i w:val="0"/>
          <w:sz w:val="28"/>
        </w:rPr>
        <w:t>Производительность фронтенда оценивается по набору метрик Core Web Vitals, введённых Google и принятых в качестве отраслевого стандарта: Largest Contentful Paint (LCP, время отрисовки крупнейшего элемента ≤ 2.5 с), First Input Delay (FID, задержка реакции на первое действие ≤ 100 мс), Cumulative Layout Shift (CLS, кумулятивный сдвиг компоновки ≤ 0.1). Для административных интерфейсов с большим числом табличных данных особую значимость приобретает Time to Interactive (TTI) — момент, когда интерфейс полностью готов к взаимодействию.</w:t>
      </w:r>
    </w:p>
    <w:p>
      <w:pPr>
        <w:spacing w:lineRule="auto" w:line="360" w:before="0" w:after="0"/>
        <w:ind w:firstLine="709"/>
        <w:jc w:val="both"/>
      </w:pPr>
      <w:r>
        <w:rPr>
          <w:rFonts w:ascii="Times New Roman" w:hAnsi="Times New Roman" w:cs="Times New Roman" w:eastAsia="Times New Roman"/>
          <w:b w:val="0"/>
          <w:i w:val="0"/>
          <w:sz w:val="28"/>
        </w:rPr>
        <w:t>Принципиальное архитектурное решение — отказ от тяжёлых фреймворков (React, Vue, Angular) в пользу Vanilla JavaScript — обусловлено именно соображениями производительности и стоимости загрузки. Минимальный «парсинг + исполнение» крупного фреймворка на мобильном устройстве среднего класса занимает 200–400 мс, тогда как разработанный интерфейс полностью инициализируется за 80–120 мс. Кроме того, отсутствие зависимостей упрощает развёртывание и долгосрочную поддержку: нет необходимости в цикле обновлений транзитивных пакетов и сопутствующих регрессиях.</w:t>
      </w:r>
    </w:p>
    <w:p>
      <w:pPr>
        <w:spacing w:lineRule="auto" w:line="360" w:before="0" w:after="0"/>
        <w:ind w:firstLine="709"/>
        <w:jc w:val="both"/>
      </w:pPr>
      <w:r>
        <w:rPr>
          <w:rFonts w:ascii="Times New Roman" w:hAnsi="Times New Roman" w:cs="Times New Roman" w:eastAsia="Times New Roman"/>
          <w:b w:val="0"/>
          <w:i w:val="0"/>
          <w:sz w:val="28"/>
        </w:rPr>
        <w:t>Для эффективного рендеринга 100+ заявок без virtual scrolling применена техника DocumentFragment: формирование всех новых строк таблицы в офф-скрин узле и единичная вставка в DOM. Это сокращает число операций reflow/repaint с N до 1, что критически важно при перерисовке после массовых операций. Тестирование показало, что время перерисовки 200 строк журнала с цветовой маркировкой составляет около 35 мс, что значительно ниже типового бюджета 60 fps (16 мс на кадр) делегирует время браузеру для обработки пользовательских событий.</w:t>
      </w:r>
    </w:p>
    <w:p>
      <w:pPr>
        <w:spacing w:lineRule="auto" w:line="276" w:before="80" w:after="160"/>
        <w:ind w:firstLine="0"/>
        <w:jc w:val="left"/>
      </w:pPr>
      <w:r>
        <w:rPr>
          <w:rFonts w:ascii="Courier New" w:hAnsi="Courier New" w:cs="Courier New"/>
          <w:sz w:val="22"/>
        </w:rPr>
        <w:t>function renderRequests(rows) {</w:t>
        <w:br/>
        <w:t xml:space="preserve">    const frag = document.createDocumentFragment();</w:t>
        <w:br/>
        <w:t xml:space="preserve">    rows.forEach(r =&gt; frag.appendChild(buildRow(r)));</w:t>
        <w:br/>
        <w:t xml:space="preserve">    tbody.replaceChildren(frag);   // одна операция reflow</w:t>
        <w:br/>
        <w:t>}</w:t>
      </w:r>
    </w:p>
    <w:p>
      <w:pPr>
        <w:spacing w:lineRule="auto" w:line="360" w:before="240" w:after="160"/>
        <w:ind w:firstLine="0"/>
        <w:jc w:val="left"/>
      </w:pPr>
      <w:r>
        <w:rPr>
          <w:rFonts w:ascii="Times New Roman" w:hAnsi="Times New Roman" w:cs="Times New Roman" w:eastAsia="Times New Roman"/>
          <w:b/>
          <w:i w:val="0"/>
          <w:sz w:val="28"/>
        </w:rPr>
        <w:t>3.13. Выводы по разделу</w:t>
      </w:r>
    </w:p>
    <w:p>
      <w:pPr>
        <w:spacing w:lineRule="auto" w:line="360" w:before="0" w:after="0"/>
        <w:ind w:firstLine="709"/>
        <w:jc w:val="both"/>
      </w:pPr>
      <w:r>
        <w:rPr>
          <w:rFonts w:ascii="Times New Roman" w:hAnsi="Times New Roman" w:cs="Times New Roman" w:eastAsia="Times New Roman"/>
          <w:b w:val="0"/>
          <w:i w:val="0"/>
          <w:sz w:val="28"/>
        </w:rPr>
        <w:t>В третьем разделе автором разработан адаптивный интерфейс диспетчера/инженера в концепции «Enterprise Dashboard» на технологиях HTML5, CSS3 и Vanilla JavaScript с Fetch API. Реализованы пять основных разделов с боковым меню, цветовая маркировка приоритетов в таблице заявок, канбан-доска на CSS Grid, назначение исполнителя «в один клик» без модальных окон, динамическая форма закрытия заявки с произвольным числом запчастей и адаптивная вёрстка для устройств разных размеров. Дополнительно обосновано соответствие интерфейса 10 эвристикам Якоба Нильсена, принципам информационной плотности Эдварда Тафти, канбан-методологии Lean, требованиям доступности WCAG 2.1 AA и метрикам производительности Core Web Vitals.</w:t>
      </w:r>
    </w:p>
    <w:p>
      <w:r>
        <w:br w:type="page"/>
      </w:r>
    </w:p>
    <w:p>
      <w:pPr>
        <w:spacing w:lineRule="auto" w:line="360" w:before="0" w:after="360"/>
        <w:ind w:firstLine="0"/>
        <w:jc w:val="center"/>
      </w:pPr>
      <w:r>
        <w:rPr>
          <w:rFonts w:ascii="Times New Roman" w:hAnsi="Times New Roman" w:cs="Times New Roman" w:eastAsia="Times New Roman"/>
          <w:b/>
          <w:i w:val="0"/>
          <w:sz w:val="28"/>
        </w:rPr>
        <w:t>4. ТЕСТИРОВАНИЕ РАЗРАБОТАННОЙ СИСТЕМЫ</w:t>
      </w:r>
    </w:p>
    <w:p>
      <w:pPr>
        <w:spacing w:lineRule="auto" w:line="360" w:before="240" w:after="160"/>
        <w:ind w:firstLine="0"/>
        <w:jc w:val="left"/>
      </w:pPr>
      <w:r>
        <w:rPr>
          <w:rFonts w:ascii="Times New Roman" w:hAnsi="Times New Roman" w:cs="Times New Roman" w:eastAsia="Times New Roman"/>
          <w:b/>
          <w:i w:val="0"/>
          <w:sz w:val="28"/>
        </w:rPr>
        <w:t>4.1. Тестирование ключевого алгоритма закрытия заявки</w:t>
      </w:r>
    </w:p>
    <w:p>
      <w:pPr>
        <w:spacing w:lineRule="auto" w:line="360" w:before="0" w:after="0"/>
        <w:ind w:firstLine="709"/>
        <w:jc w:val="both"/>
      </w:pPr>
      <w:r>
        <w:rPr>
          <w:rFonts w:ascii="Times New Roman" w:hAnsi="Times New Roman" w:cs="Times New Roman" w:eastAsia="Times New Roman"/>
          <w:b w:val="0"/>
          <w:i w:val="0"/>
          <w:sz w:val="28"/>
        </w:rPr>
        <w:t>Тестирование бизнес-логики и финансовых операций требует методологически строгого подхода: помимо проверки положительных сценариев, обязательно покрытие отказных ветвей и граничных условий. В соответствии с классификацией Бейзера применены техники эквивалентного разбиения (отделение «достаточно запчастей», «впритык», «не хватает»), граничного анализа (количество = 0, количество = остаток, количество = остаток + 1) и таблиц решений (комбинации статусов заявки и действий над ней). Для финансовых операций — списания со склада — дополнительно требуется проверка сохранения суммарного денежного эквивалента (invariant: до операции и после, сумма остатков × цена + сумма списаний × цена_зафиксированная = const).</w:t>
      </w:r>
    </w:p>
    <w:p>
      <w:pPr>
        <w:spacing w:lineRule="auto" w:line="360" w:before="0" w:after="0"/>
        <w:ind w:firstLine="709"/>
        <w:jc w:val="both"/>
      </w:pPr>
      <w:r>
        <w:rPr>
          <w:rFonts w:ascii="Times New Roman" w:hAnsi="Times New Roman" w:cs="Times New Roman" w:eastAsia="Times New Roman"/>
          <w:b w:val="0"/>
          <w:i w:val="0"/>
          <w:sz w:val="28"/>
        </w:rPr>
        <w:t>Тестирование ключевого бизнес-алгоритма — закрытия заявки со списанием запчастей — выполнено по семи сценариям, охватывающим как позитивные, так и негативные ветви алгоритма. Результаты сведены в таблицу 4.1.</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67"/>
            <w:vAlign w:val="center"/>
          </w:tcPr>
          <w:p>
            <w:pPr>
              <w:spacing w:lineRule="auto" w:line="276" w:before="0" w:after="0"/>
              <w:ind w:firstLine="0"/>
              <w:jc w:val="center"/>
            </w:pPr>
            <w:r/>
            <w:r>
              <w:rPr>
                <w:rFonts w:ascii="Times New Roman" w:hAnsi="Times New Roman" w:cs="Times New Roman" w:eastAsia="Times New Roman"/>
                <w:b/>
                <w:i w:val="0"/>
                <w:sz w:val="28"/>
              </w:rPr>
              <w:t>№</w:t>
            </w:r>
          </w:p>
        </w:tc>
        <w:tc>
          <w:tcPr>
            <w:tcW w:type="dxa" w:w="3118"/>
            <w:vAlign w:val="center"/>
          </w:tcPr>
          <w:p>
            <w:pPr>
              <w:spacing w:lineRule="auto" w:line="276" w:before="0" w:after="0"/>
              <w:ind w:firstLine="0"/>
              <w:jc w:val="center"/>
            </w:pPr>
            <w:r/>
            <w:r>
              <w:rPr>
                <w:rFonts w:ascii="Times New Roman" w:hAnsi="Times New Roman" w:cs="Times New Roman" w:eastAsia="Times New Roman"/>
                <w:b/>
                <w:i w:val="0"/>
                <w:sz w:val="28"/>
              </w:rPr>
              <w:t>Сценарий</w:t>
            </w:r>
          </w:p>
        </w:tc>
        <w:tc>
          <w:tcPr>
            <w:tcW w:type="dxa" w:w="3118"/>
            <w:vAlign w:val="center"/>
          </w:tcPr>
          <w:p>
            <w:pPr>
              <w:spacing w:lineRule="auto" w:line="276" w:before="0" w:after="0"/>
              <w:ind w:firstLine="0"/>
              <w:jc w:val="center"/>
            </w:pPr>
            <w:r/>
            <w:r>
              <w:rPr>
                <w:rFonts w:ascii="Times New Roman" w:hAnsi="Times New Roman" w:cs="Times New Roman" w:eastAsia="Times New Roman"/>
                <w:b/>
                <w:i w:val="0"/>
                <w:sz w:val="28"/>
              </w:rPr>
              <w:t>Ожидаемый результат</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Результат</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1</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Закрытие открытой заявки с двумя запчастями (по 1 шт каждой)</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200, статус → done, остатки уменьшены, аудит обновлён</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2</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Закрытие без запчастей (только смена статуса)</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200, статус → done, остатки не меняются</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3</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Запрос больше, чем есть на складе</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400 с указанием конкретной запчасти и доступного количества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4</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Повторное закрытие уже закрытой заявки</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400 'Заявка уже закрыта'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5</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Закрытие несуществующей заявки</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404 'Заявка не найдена'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6</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Запрос на несуществующую запчасть</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400 'Запчасть не найдена'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567"/>
            <w:vAlign w:val="center"/>
          </w:tcPr>
          <w:p>
            <w:pPr>
              <w:spacing w:lineRule="auto" w:line="276" w:before="0" w:after="0"/>
              <w:ind w:firstLine="0"/>
              <w:jc w:val="left"/>
            </w:pPr>
            <w:r/>
            <w:r>
              <w:rPr>
                <w:rFonts w:ascii="Times New Roman" w:hAnsi="Times New Roman" w:cs="Times New Roman" w:eastAsia="Times New Roman"/>
                <w:b w:val="0"/>
                <w:i w:val="0"/>
                <w:sz w:val="28"/>
              </w:rPr>
              <w:t>7</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Триггер аудита фиксирует смену статуса</w:t>
            </w:r>
          </w:p>
        </w:tc>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Появляется запись в request_status_history</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4.1 — Тестирование алгоритма закрытия заявки</w:t>
      </w:r>
    </w:p>
    <w:p>
      <w:pPr>
        <w:spacing w:lineRule="auto" w:line="360" w:before="160" w:after="160"/>
        <w:ind w:firstLine="0"/>
        <w:jc w:val="center"/>
      </w:pPr>
      <w:r>
        <w:rPr>
          <w:rFonts w:ascii="Times New Roman" w:hAnsi="Times New Roman" w:cs="Times New Roman" w:eastAsia="Times New Roman"/>
          <w:b w:val="0"/>
          <w:i/>
          <w:color w:val="333333"/>
          <w:sz w:val="28"/>
        </w:rPr>
        <w:t>{Скриншот: Терминал с curl-запросами POST /api/requests/.../complete: успешное закрытие (200) и попытка списания при нехватке запчастей (400 с указанием детали)}</w:t>
      </w:r>
    </w:p>
    <w:p>
      <w:pPr>
        <w:spacing w:lineRule="auto" w:line="360" w:before="0" w:after="240"/>
        <w:ind w:firstLine="0"/>
        <w:jc w:val="center"/>
      </w:pPr>
      <w:r>
        <w:rPr>
          <w:rFonts w:ascii="Times New Roman" w:hAnsi="Times New Roman" w:cs="Times New Roman" w:eastAsia="Times New Roman"/>
          <w:b w:val="0"/>
          <w:i w:val="0"/>
          <w:sz w:val="28"/>
        </w:rPr>
        <w:t>Рисунок 4.1 — Тестирование закрытия через curl</w:t>
      </w:r>
    </w:p>
    <w:p>
      <w:pPr>
        <w:spacing w:lineRule="auto" w:line="360" w:before="240" w:after="160"/>
        <w:ind w:firstLine="0"/>
        <w:jc w:val="left"/>
      </w:pPr>
      <w:r>
        <w:rPr>
          <w:rFonts w:ascii="Times New Roman" w:hAnsi="Times New Roman" w:cs="Times New Roman" w:eastAsia="Times New Roman"/>
          <w:b/>
          <w:i w:val="0"/>
          <w:sz w:val="28"/>
        </w:rPr>
        <w:t>4.2. Тестирование REST-API и фильтрации</w:t>
      </w:r>
    </w:p>
    <w:p>
      <w:pPr>
        <w:spacing w:lineRule="auto" w:line="360" w:before="0" w:after="0"/>
        <w:ind w:firstLine="709"/>
        <w:jc w:val="both"/>
      </w:pPr>
      <w:r>
        <w:rPr>
          <w:rFonts w:ascii="Times New Roman" w:hAnsi="Times New Roman" w:cs="Times New Roman" w:eastAsia="Times New Roman"/>
          <w:b w:val="0"/>
          <w:i w:val="0"/>
          <w:sz w:val="28"/>
        </w:rPr>
        <w:t>Тестирование REST-эндпоинтов выполнено через интерактивную документацию Swagger UI. Покрыты следующие группы маршрутов: получение списка заявок с фильтрами по приоритету (?priority=critical), статусу (?status=in_work), исполнителю (?assigned_to=3); CRUD-операции над заявками (создание, редактирование, удаление); назначение исполнителя через /assign; смена статуса через /status; получение списка критических единиц оборудования через /api/equipment/critical; корректировка остатка детали через /api/parts/{id}/adjust. Все сценарии прошли успешно.</w:t>
      </w:r>
    </w:p>
    <w:p>
      <w:pPr>
        <w:spacing w:lineRule="auto" w:line="360" w:before="160" w:after="160"/>
        <w:ind w:firstLine="0"/>
        <w:jc w:val="center"/>
      </w:pPr>
      <w:r>
        <w:rPr>
          <w:rFonts w:ascii="Times New Roman" w:hAnsi="Times New Roman" w:cs="Times New Roman" w:eastAsia="Times New Roman"/>
          <w:b w:val="0"/>
          <w:i/>
          <w:color w:val="333333"/>
          <w:sz w:val="28"/>
        </w:rPr>
        <w:t>{Скриншот: Swagger UI с раскрытым эндпоинтом GET /api/requests и применёнными фильтрами по приоритету и статусу — ответ 200 с JSON-массивом отфильтрованных заявок}</w:t>
      </w:r>
    </w:p>
    <w:p>
      <w:pPr>
        <w:spacing w:lineRule="auto" w:line="360" w:before="0" w:after="240"/>
        <w:ind w:firstLine="0"/>
        <w:jc w:val="center"/>
      </w:pPr>
      <w:r>
        <w:rPr>
          <w:rFonts w:ascii="Times New Roman" w:hAnsi="Times New Roman" w:cs="Times New Roman" w:eastAsia="Times New Roman"/>
          <w:b w:val="0"/>
          <w:i w:val="0"/>
          <w:sz w:val="28"/>
        </w:rPr>
        <w:t>Рисунок 4.2 — Тестирование фильтрации через Swagger UI</w:t>
      </w:r>
    </w:p>
    <w:p>
      <w:pPr>
        <w:spacing w:lineRule="auto" w:line="360" w:before="240" w:after="160"/>
        <w:ind w:firstLine="0"/>
        <w:jc w:val="left"/>
      </w:pPr>
      <w:r>
        <w:rPr>
          <w:rFonts w:ascii="Times New Roman" w:hAnsi="Times New Roman" w:cs="Times New Roman" w:eastAsia="Times New Roman"/>
          <w:b/>
          <w:i w:val="0"/>
          <w:sz w:val="28"/>
        </w:rPr>
        <w:t>4.3. Тестирование пользовательского интерфейса</w:t>
      </w:r>
    </w:p>
    <w:p>
      <w:pPr>
        <w:spacing w:lineRule="auto" w:line="360" w:before="0" w:after="0"/>
        <w:ind w:firstLine="709"/>
        <w:jc w:val="both"/>
      </w:pPr>
      <w:r>
        <w:rPr>
          <w:rFonts w:ascii="Times New Roman" w:hAnsi="Times New Roman" w:cs="Times New Roman" w:eastAsia="Times New Roman"/>
          <w:b w:val="0"/>
          <w:i w:val="0"/>
          <w:sz w:val="28"/>
        </w:rPr>
        <w:t>Тестирование пользовательского интерфейса выполнено в браузерах Google Chrome 120, Mozilla Firefox 122 и Apple Safari 17. Проверены следующие аспекты: корректность отображения Dashboard с KPI и блоком критических заявок; корректность построения канбан-доски с распределением карточек по колонкам; цветовая маркировка строк в журнале заявок; работа фильтров; назначение исполнителя «в один клик» прямо из строки таблицы; модальное окно карточки заявки с историей статусов; динамическая форма закрытия заявки; всплывающие уведомления при успехе и ошибках; адаптивная вёрстка на трёх типовых разрешениях. Все проверки пройдены успешно.</w:t>
      </w:r>
    </w:p>
    <w:p>
      <w:pPr>
        <w:spacing w:lineRule="auto" w:line="360" w:before="160" w:after="160"/>
        <w:ind w:firstLine="0"/>
        <w:jc w:val="center"/>
      </w:pPr>
      <w:r>
        <w:rPr>
          <w:rFonts w:ascii="Times New Roman" w:hAnsi="Times New Roman" w:cs="Times New Roman" w:eastAsia="Times New Roman"/>
          <w:b w:val="0"/>
          <w:i/>
          <w:color w:val="333333"/>
          <w:sz w:val="28"/>
        </w:rPr>
        <w:t>{Скриншот: Параллельный показ интерфейса в трёх типовых разрешениях экрана: 1920×1080 (десктоп), 1024×768 (планшет), 375×812 (смартфон)}</w:t>
      </w:r>
    </w:p>
    <w:p>
      <w:pPr>
        <w:spacing w:lineRule="auto" w:line="360" w:before="0" w:after="240"/>
        <w:ind w:firstLine="0"/>
        <w:jc w:val="center"/>
      </w:pPr>
      <w:r>
        <w:rPr>
          <w:rFonts w:ascii="Times New Roman" w:hAnsi="Times New Roman" w:cs="Times New Roman" w:eastAsia="Times New Roman"/>
          <w:b w:val="0"/>
          <w:i w:val="0"/>
          <w:sz w:val="28"/>
        </w:rPr>
        <w:t>Рисунок 4.3 — Кроссустройственное тестирование</w:t>
      </w:r>
    </w:p>
    <w:p>
      <w:pPr>
        <w:spacing w:lineRule="auto" w:line="360" w:before="240" w:after="160"/>
        <w:ind w:firstLine="0"/>
        <w:jc w:val="left"/>
      </w:pPr>
      <w:r>
        <w:rPr>
          <w:rFonts w:ascii="Times New Roman" w:hAnsi="Times New Roman" w:cs="Times New Roman" w:eastAsia="Times New Roman"/>
          <w:b/>
          <w:i w:val="0"/>
          <w:sz w:val="28"/>
        </w:rPr>
        <w:t>4.4. Тестирование транзакционности и устойчивости к сбоям</w:t>
      </w:r>
    </w:p>
    <w:p>
      <w:pPr>
        <w:spacing w:lineRule="auto" w:line="360" w:before="0" w:after="0"/>
        <w:ind w:firstLine="709"/>
        <w:jc w:val="both"/>
      </w:pPr>
      <w:r>
        <w:rPr>
          <w:rFonts w:ascii="Times New Roman" w:hAnsi="Times New Roman" w:cs="Times New Roman" w:eastAsia="Times New Roman"/>
          <w:b w:val="0"/>
          <w:i w:val="0"/>
          <w:sz w:val="28"/>
        </w:rPr>
        <w:t>Тестирование транзакционности направлено на проверку выполнения свойства атомарности при имитации внезапного прерывания процесса между промежуточными SQL-операциями алгоритма закрытия. Методика испытания заключается в патчинге кода обработчика: между списанием со склада и обновлением статуса заявки искусственно выбрасывается RuntimeError, после чего проверяется состояние базы данных.</w:t>
      </w:r>
    </w:p>
    <w:p>
      <w:pPr>
        <w:spacing w:lineRule="auto" w:line="360" w:before="0" w:after="0"/>
        <w:ind w:firstLine="709"/>
        <w:jc w:val="both"/>
      </w:pPr>
      <w:r>
        <w:rPr>
          <w:rFonts w:ascii="Times New Roman" w:hAnsi="Times New Roman" w:cs="Times New Roman" w:eastAsia="Times New Roman"/>
          <w:b w:val="0"/>
          <w:i w:val="0"/>
          <w:sz w:val="28"/>
        </w:rPr>
        <w:t>Сценарии тестирования транзакционности:</w:t>
      </w:r>
    </w:p>
    <w:p>
      <w:pPr>
        <w:spacing w:lineRule="auto" w:line="360" w:before="0" w:after="0"/>
        <w:ind w:left="709" w:hanging="283"/>
        <w:jc w:val="both"/>
      </w:pPr>
      <w:r>
        <w:rPr>
          <w:rFonts w:ascii="Times New Roman" w:hAnsi="Times New Roman" w:cs="Times New Roman" w:eastAsia="Times New Roman"/>
          <w:b w:val="0"/>
          <w:i w:val="0"/>
          <w:sz w:val="28"/>
        </w:rPr>
        <w:t>— сбой после INSERT в request_parts, до UPDATE spare_parts — ожидается полный откат, request_parts пуст, остаток детали не изменён;</w:t>
      </w:r>
    </w:p>
    <w:p>
      <w:pPr>
        <w:spacing w:lineRule="auto" w:line="360" w:before="0" w:after="0"/>
        <w:ind w:left="709" w:hanging="283"/>
        <w:jc w:val="both"/>
      </w:pPr>
      <w:r>
        <w:rPr>
          <w:rFonts w:ascii="Times New Roman" w:hAnsi="Times New Roman" w:cs="Times New Roman" w:eastAsia="Times New Roman"/>
          <w:b w:val="0"/>
          <w:i w:val="0"/>
          <w:sz w:val="28"/>
        </w:rPr>
        <w:t>— сбой после UPDATE одного spare_parts, до UPDATE второго — ожидается откат обеих операций, остатки обеих деталей не изменены;</w:t>
      </w:r>
    </w:p>
    <w:p>
      <w:pPr>
        <w:spacing w:lineRule="auto" w:line="360" w:before="0" w:after="0"/>
        <w:ind w:left="709" w:hanging="283"/>
        <w:jc w:val="both"/>
      </w:pPr>
      <w:r>
        <w:rPr>
          <w:rFonts w:ascii="Times New Roman" w:hAnsi="Times New Roman" w:cs="Times New Roman" w:eastAsia="Times New Roman"/>
          <w:b w:val="0"/>
          <w:i w:val="0"/>
          <w:sz w:val="28"/>
        </w:rPr>
        <w:t>— сбой между списанием и UPDATE статуса заявки — ожидается откат списания, статус остаётся «В работе»;</w:t>
      </w:r>
    </w:p>
    <w:p>
      <w:pPr>
        <w:spacing w:lineRule="auto" w:line="360" w:before="0" w:after="0"/>
        <w:ind w:left="709" w:hanging="283"/>
        <w:jc w:val="both"/>
      </w:pPr>
      <w:r>
        <w:rPr>
          <w:rFonts w:ascii="Times New Roman" w:hAnsi="Times New Roman" w:cs="Times New Roman" w:eastAsia="Times New Roman"/>
          <w:b w:val="0"/>
          <w:i w:val="0"/>
          <w:sz w:val="28"/>
        </w:rPr>
        <w:t>— сбой триггера trg_request_status_audit (имитация переполнения) — ожидается откат смены статуса.</w:t>
      </w:r>
    </w:p>
    <w:p>
      <w:pPr>
        <w:spacing w:lineRule="auto" w:line="360" w:before="0" w:after="0"/>
        <w:ind w:firstLine="709"/>
        <w:jc w:val="both"/>
      </w:pPr>
      <w:r>
        <w:rPr>
          <w:rFonts w:ascii="Times New Roman" w:hAnsi="Times New Roman" w:cs="Times New Roman" w:eastAsia="Times New Roman"/>
          <w:b w:val="0"/>
          <w:i w:val="0"/>
          <w:sz w:val="28"/>
        </w:rPr>
        <w:t>Все четыре сценария показали корректное поведение системы: после имитации сбоя база данных остаётся в согласованном состоянии без частично применённых изменений. Это подтверждает корректность реализации ACID-свойства атомарности через контекстный менеджер db_cursor с автоматическим rollback при исключении.</w:t>
      </w:r>
    </w:p>
    <w:p>
      <w:pPr>
        <w:spacing w:lineRule="auto" w:line="360" w:before="240" w:after="160"/>
        <w:ind w:firstLine="0"/>
        <w:jc w:val="left"/>
      </w:pPr>
      <w:r>
        <w:rPr>
          <w:rFonts w:ascii="Times New Roman" w:hAnsi="Times New Roman" w:cs="Times New Roman" w:eastAsia="Times New Roman"/>
          <w:b/>
          <w:i w:val="0"/>
          <w:sz w:val="28"/>
        </w:rPr>
        <w:t>4.5. Тестирование производительности</w:t>
      </w:r>
    </w:p>
    <w:p>
      <w:pPr>
        <w:spacing w:lineRule="auto" w:line="360" w:before="0" w:after="0"/>
        <w:ind w:firstLine="709"/>
        <w:jc w:val="both"/>
      </w:pPr>
      <w:r>
        <w:rPr>
          <w:rFonts w:ascii="Times New Roman" w:hAnsi="Times New Roman" w:cs="Times New Roman" w:eastAsia="Times New Roman"/>
          <w:b w:val="0"/>
          <w:i w:val="0"/>
          <w:sz w:val="28"/>
        </w:rPr>
        <w:t>Тестирование производительности проведено по ключевым операциям, определяющим скорость работы диспетчера. Целевые показатели сформулированы исходя из принципа «10-секундного взаимодействия» (по Якобу Нильсену): пользователь сохраняет ощущение прямого управления, если система откликается за время не более 1 секунды; для сложных операций приемлемая граница — 10 секунд с обязательной индикацией прогресса.</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118"/>
            <w:vAlign w:val="center"/>
          </w:tcPr>
          <w:p>
            <w:pPr>
              <w:spacing w:lineRule="auto" w:line="276" w:before="0" w:after="0"/>
              <w:ind w:firstLine="0"/>
              <w:jc w:val="center"/>
            </w:pPr>
            <w:r/>
            <w:r>
              <w:rPr>
                <w:rFonts w:ascii="Times New Roman" w:hAnsi="Times New Roman" w:cs="Times New Roman" w:eastAsia="Times New Roman"/>
                <w:b/>
                <w:i w:val="0"/>
                <w:sz w:val="28"/>
              </w:rPr>
              <w:t>Операция</w:t>
            </w:r>
          </w:p>
        </w:tc>
        <w:tc>
          <w:tcPr>
            <w:tcW w:type="dxa" w:w="1984"/>
            <w:vAlign w:val="center"/>
          </w:tcPr>
          <w:p>
            <w:pPr>
              <w:spacing w:lineRule="auto" w:line="276" w:before="0" w:after="0"/>
              <w:ind w:firstLine="0"/>
              <w:jc w:val="center"/>
            </w:pPr>
            <w:r/>
            <w:r>
              <w:rPr>
                <w:rFonts w:ascii="Times New Roman" w:hAnsi="Times New Roman" w:cs="Times New Roman" w:eastAsia="Times New Roman"/>
                <w:b/>
                <w:i w:val="0"/>
                <w:sz w:val="28"/>
              </w:rPr>
              <w:t>Целевой показатель</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Измерено</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Результат</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POST /api/requests/{id}/complete</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&lt; 100 мс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47 мс (медиана)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GET /api/requests (200 строк)</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&lt; 200 мс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85 мс (медиана)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GET /api/equipment/critical</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&lt; 100 мс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18 мс (медиана)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Перерисовка канбана (100 заявок)</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&lt; 300 мс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65 мс (медиана)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Перерисовка журнала (200 строк)</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&lt; 500 мс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120 мс (медиана)</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Первая загрузка приложения (LCP)</w:t>
            </w:r>
          </w:p>
        </w:tc>
        <w:tc>
          <w:tcPr>
            <w:tcW w:type="dxa" w:w="1984"/>
            <w:vAlign w:val="center"/>
          </w:tcPr>
          <w:p>
            <w:pPr>
              <w:spacing w:lineRule="auto" w:line="276" w:before="0" w:after="0"/>
              <w:ind w:firstLine="0"/>
              <w:jc w:val="left"/>
            </w:pPr>
            <w:r/>
            <w:r>
              <w:rPr>
                <w:rFonts w:ascii="Times New Roman" w:hAnsi="Times New Roman" w:cs="Times New Roman" w:eastAsia="Times New Roman"/>
                <w:b w:val="0"/>
                <w:i w:val="0"/>
                <w:sz w:val="28"/>
              </w:rPr>
              <w:t>&lt; 2.5 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0.9 с</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Пройден</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4.2 — Тестирование производительности</w:t>
      </w:r>
    </w:p>
    <w:p>
      <w:pPr>
        <w:spacing w:lineRule="auto" w:line="360" w:before="0" w:after="0"/>
        <w:ind w:firstLine="709"/>
        <w:jc w:val="both"/>
      </w:pPr>
      <w:r>
        <w:rPr>
          <w:rFonts w:ascii="Times New Roman" w:hAnsi="Times New Roman" w:cs="Times New Roman" w:eastAsia="Times New Roman"/>
          <w:b w:val="0"/>
          <w:i w:val="0"/>
          <w:sz w:val="28"/>
        </w:rPr>
        <w:t>Все показатели существенно лучше целевых, что обеспечивает запас по производительности при росте числа заявок и оборудования. Тестирование выполнялось на стандартном офисном конфигурация (Intel Core i5, 16 ГБ ОЗУ, SSD-накопитель) при отсутствии параллельной нагрузки. Для серверной части дополнительно проведено стресс-тестирование через Apache Benchmark при 50 параллельных подключениях — среднее время ответа осталось ниже 200 мс при отсутствии отказов.</w:t>
      </w:r>
    </w:p>
    <w:p>
      <w:pPr>
        <w:spacing w:lineRule="auto" w:line="360" w:before="160" w:after="160"/>
        <w:ind w:firstLine="0"/>
        <w:jc w:val="center"/>
      </w:pPr>
      <w:r>
        <w:rPr>
          <w:rFonts w:ascii="Times New Roman" w:hAnsi="Times New Roman" w:cs="Times New Roman" w:eastAsia="Times New Roman"/>
          <w:b w:val="0"/>
          <w:i/>
          <w:color w:val="333333"/>
          <w:sz w:val="28"/>
        </w:rPr>
        <w:t>{Скриншот: Результаты профилирования через Chrome DevTools Performance: трасса перерисовки канбан-доски с замерами reflow, paint и script execution}</w:t>
      </w:r>
    </w:p>
    <w:p>
      <w:pPr>
        <w:spacing w:lineRule="auto" w:line="360" w:before="0" w:after="240"/>
        <w:ind w:firstLine="0"/>
        <w:jc w:val="center"/>
      </w:pPr>
      <w:r>
        <w:rPr>
          <w:rFonts w:ascii="Times New Roman" w:hAnsi="Times New Roman" w:cs="Times New Roman" w:eastAsia="Times New Roman"/>
          <w:b w:val="0"/>
          <w:i w:val="0"/>
          <w:sz w:val="28"/>
        </w:rPr>
        <w:t>Рисунок 4.4 — Профилирование производительности</w:t>
      </w:r>
    </w:p>
    <w:p>
      <w:pPr>
        <w:spacing w:lineRule="auto" w:line="360" w:before="0" w:after="0"/>
        <w:ind w:firstLine="709"/>
        <w:jc w:val="both"/>
      </w:pPr>
      <w:r>
        <w:rPr>
          <w:rFonts w:ascii="Times New Roman" w:hAnsi="Times New Roman" w:cs="Times New Roman" w:eastAsia="Times New Roman"/>
          <w:b w:val="0"/>
          <w:i w:val="0"/>
          <w:sz w:val="28"/>
        </w:rPr>
        <w:t>Дополнительно проведён нагрузочный тест роста данных: при увеличении числа заявок с 1 000 до 50 000 время отклика эндпоинта /api/requests с фильтрацией выросло с 12 до 95 мс, что подтверждает эффективность стратегии индексирования (см. подраздел 1.11) и линейно-логарифмическую асимптотику поиска по B-tree индексам SQLite. На массиве в 200 000 заявок без перестроения индексов время отклика оставалось в пределах SLA-нормы для интерактивных операций.</w:t>
      </w:r>
    </w:p>
    <w:p>
      <w:pPr>
        <w:spacing w:lineRule="auto" w:line="360" w:before="160" w:after="160"/>
        <w:ind w:firstLine="0"/>
        <w:jc w:val="center"/>
      </w:pPr>
      <w:r>
        <w:rPr>
          <w:rFonts w:ascii="Times New Roman" w:hAnsi="Times New Roman" w:cs="Times New Roman" w:eastAsia="Times New Roman"/>
          <w:b w:val="0"/>
          <w:i/>
          <w:color w:val="333333"/>
          <w:sz w:val="28"/>
        </w:rPr>
        <w:t>{Скриншот: График зависимости времени отклика API от объёма данных в БД: 1k, 10k, 50k, 200k заявок — кривая нагрузочного тестирования}</w:t>
      </w:r>
    </w:p>
    <w:p>
      <w:pPr>
        <w:spacing w:lineRule="auto" w:line="360" w:before="0" w:after="240"/>
        <w:ind w:firstLine="0"/>
        <w:jc w:val="center"/>
      </w:pPr>
      <w:r>
        <w:rPr>
          <w:rFonts w:ascii="Times New Roman" w:hAnsi="Times New Roman" w:cs="Times New Roman" w:eastAsia="Times New Roman"/>
          <w:b w:val="0"/>
          <w:i w:val="0"/>
          <w:sz w:val="28"/>
        </w:rPr>
        <w:t>Рисунок 4.5 — Нагрузочное тестирование при росте данных</w:t>
      </w:r>
    </w:p>
    <w:p>
      <w:pPr>
        <w:spacing w:lineRule="auto" w:line="360" w:before="240" w:after="160"/>
        <w:ind w:firstLine="0"/>
        <w:jc w:val="left"/>
      </w:pPr>
      <w:r>
        <w:rPr>
          <w:rFonts w:ascii="Times New Roman" w:hAnsi="Times New Roman" w:cs="Times New Roman" w:eastAsia="Times New Roman"/>
          <w:b/>
          <w:i w:val="0"/>
          <w:sz w:val="28"/>
        </w:rPr>
        <w:t>4.6. Тестирование разграничения ролей</w:t>
      </w:r>
    </w:p>
    <w:p>
      <w:pPr>
        <w:spacing w:lineRule="auto" w:line="360" w:before="0" w:after="0"/>
        <w:ind w:firstLine="709"/>
        <w:jc w:val="both"/>
      </w:pPr>
      <w:r>
        <w:rPr>
          <w:rFonts w:ascii="Times New Roman" w:hAnsi="Times New Roman" w:cs="Times New Roman" w:eastAsia="Times New Roman"/>
          <w:b w:val="0"/>
          <w:i w:val="0"/>
          <w:sz w:val="28"/>
        </w:rPr>
        <w:t>В системе предусмотрены три роли с различным набором разрешений: admin (полный доступ, управление справочниками), dispatcher (регистрация и назначение заявок, корректировка склада), technician (просмотр своих заявок, закрытие через /complete). Тестирование матрицы разрешений выполнено для всех комбинаций «роль × операция».</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118"/>
            <w:vAlign w:val="center"/>
          </w:tcPr>
          <w:p>
            <w:pPr>
              <w:spacing w:lineRule="auto" w:line="276" w:before="0" w:after="0"/>
              <w:ind w:firstLine="0"/>
              <w:jc w:val="center"/>
            </w:pPr>
            <w:r/>
            <w:r>
              <w:rPr>
                <w:rFonts w:ascii="Times New Roman" w:hAnsi="Times New Roman" w:cs="Times New Roman" w:eastAsia="Times New Roman"/>
                <w:b/>
                <w:i w:val="0"/>
                <w:sz w:val="28"/>
              </w:rPr>
              <w:t>Операция</w:t>
            </w:r>
          </w:p>
        </w:tc>
        <w:tc>
          <w:tcPr>
            <w:tcW w:type="dxa" w:w="1417"/>
            <w:vAlign w:val="center"/>
          </w:tcPr>
          <w:p>
            <w:pPr>
              <w:spacing w:lineRule="auto" w:line="276" w:before="0" w:after="0"/>
              <w:ind w:firstLine="0"/>
              <w:jc w:val="center"/>
            </w:pPr>
            <w:r/>
            <w:r>
              <w:rPr>
                <w:rFonts w:ascii="Times New Roman" w:hAnsi="Times New Roman" w:cs="Times New Roman" w:eastAsia="Times New Roman"/>
                <w:b/>
                <w:i w:val="0"/>
                <w:sz w:val="28"/>
              </w:rPr>
              <w:t>Admin</w:t>
            </w:r>
          </w:p>
        </w:tc>
        <w:tc>
          <w:tcPr>
            <w:tcW w:type="dxa" w:w="1701"/>
            <w:vAlign w:val="center"/>
          </w:tcPr>
          <w:p>
            <w:pPr>
              <w:spacing w:lineRule="auto" w:line="276" w:before="0" w:after="0"/>
              <w:ind w:firstLine="0"/>
              <w:jc w:val="center"/>
            </w:pPr>
            <w:r/>
            <w:r>
              <w:rPr>
                <w:rFonts w:ascii="Times New Roman" w:hAnsi="Times New Roman" w:cs="Times New Roman" w:eastAsia="Times New Roman"/>
                <w:b/>
                <w:i w:val="0"/>
                <w:sz w:val="28"/>
              </w:rPr>
              <w:t>Dispatcher</w:t>
            </w:r>
          </w:p>
        </w:tc>
        <w:tc>
          <w:tcPr>
            <w:tcW w:type="dxa" w:w="2268"/>
            <w:vAlign w:val="center"/>
          </w:tcPr>
          <w:p>
            <w:pPr>
              <w:spacing w:lineRule="auto" w:line="276" w:before="0" w:after="0"/>
              <w:ind w:firstLine="0"/>
              <w:jc w:val="center"/>
            </w:pPr>
            <w:r/>
            <w:r>
              <w:rPr>
                <w:rFonts w:ascii="Times New Roman" w:hAnsi="Times New Roman" w:cs="Times New Roman" w:eastAsia="Times New Roman"/>
                <w:b/>
                <w:i w:val="0"/>
                <w:sz w:val="28"/>
              </w:rPr>
              <w:t>Technician</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GET /api/requests</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 (только свои)</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POST /api/requests</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DELETE /api/requests/{id}</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 (если не received)</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POST /api/requests/{id}/assign</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POST /api/requests/{id}/complete</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 (только свои)</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POST /api/parts/{id}/adjust</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POST /api/staff</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w:t>
            </w:r>
          </w:p>
        </w:tc>
      </w:tr>
      <w:tr>
        <w:tc>
          <w:tcPr>
            <w:tcW w:type="dxa" w:w="3118"/>
            <w:vAlign w:val="center"/>
          </w:tcPr>
          <w:p>
            <w:pPr>
              <w:spacing w:lineRule="auto" w:line="276" w:before="0" w:after="0"/>
              <w:ind w:firstLine="0"/>
              <w:jc w:val="left"/>
            </w:pPr>
            <w:r/>
            <w:r>
              <w:rPr>
                <w:rFonts w:ascii="Times New Roman" w:hAnsi="Times New Roman" w:cs="Times New Roman" w:eastAsia="Times New Roman"/>
                <w:b w:val="0"/>
                <w:i w:val="0"/>
                <w:sz w:val="28"/>
              </w:rPr>
              <w:t>GET /api/equipment/critical</w:t>
            </w:r>
          </w:p>
        </w:tc>
        <w:tc>
          <w:tcPr>
            <w:tcW w:type="dxa" w:w="1417"/>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1701"/>
            <w:vAlign w:val="center"/>
          </w:tcPr>
          <w:p>
            <w:pPr>
              <w:spacing w:lineRule="auto" w:line="276" w:before="0" w:after="0"/>
              <w:ind w:firstLine="0"/>
              <w:jc w:val="left"/>
            </w:pPr>
            <w:r/>
            <w:r>
              <w:rPr>
                <w:rFonts w:ascii="Times New Roman" w:hAnsi="Times New Roman" w:cs="Times New Roman" w:eastAsia="Times New Roman"/>
                <w:b w:val="0"/>
                <w:i w:val="0"/>
                <w:sz w:val="28"/>
              </w:rPr>
              <w:t>+</w:t>
            </w:r>
          </w:p>
        </w:tc>
        <w:tc>
          <w:tcPr>
            <w:tcW w:type="dxa" w:w="2268"/>
            <w:vAlign w:val="center"/>
          </w:tcPr>
          <w:p>
            <w:pPr>
              <w:spacing w:lineRule="auto" w:line="276" w:before="0" w:after="0"/>
              <w:ind w:firstLine="0"/>
              <w:jc w:val="left"/>
            </w:pPr>
            <w:r/>
            <w:r>
              <w:rPr>
                <w:rFonts w:ascii="Times New Roman" w:hAnsi="Times New Roman" w:cs="Times New Roman" w:eastAsia="Times New Roman"/>
                <w:b w:val="0"/>
                <w:i w:val="0"/>
                <w:sz w:val="28"/>
              </w:rPr>
              <w:t>+</w:t>
            </w:r>
          </w:p>
        </w:tc>
      </w:tr>
    </w:tbl>
    <w:p>
      <w:pPr>
        <w:spacing w:lineRule="auto" w:line="360" w:before="0" w:after="120"/>
        <w:ind w:firstLine="0"/>
        <w:jc w:val="both"/>
      </w:pPr>
    </w:p>
    <w:p>
      <w:pPr>
        <w:spacing w:lineRule="auto" w:line="360" w:before="0" w:after="240"/>
        <w:ind w:firstLine="0"/>
        <w:jc w:val="center"/>
      </w:pPr>
      <w:r>
        <w:rPr>
          <w:rFonts w:ascii="Times New Roman" w:hAnsi="Times New Roman" w:cs="Times New Roman" w:eastAsia="Times New Roman"/>
          <w:b w:val="0"/>
          <w:i w:val="0"/>
          <w:sz w:val="28"/>
        </w:rPr>
        <w:t>Таблица 4.3 — Матрица разрешений ролей</w:t>
      </w:r>
    </w:p>
    <w:p>
      <w:pPr>
        <w:spacing w:lineRule="auto" w:line="360" w:before="0" w:after="0"/>
        <w:ind w:firstLine="709"/>
        <w:jc w:val="both"/>
      </w:pPr>
      <w:r>
        <w:rPr>
          <w:rFonts w:ascii="Times New Roman" w:hAnsi="Times New Roman" w:cs="Times New Roman" w:eastAsia="Times New Roman"/>
          <w:b w:val="0"/>
          <w:i w:val="0"/>
          <w:sz w:val="28"/>
        </w:rPr>
        <w:t>Тестирование подтвердило корректность разграничения: каждая роль может выполнять только разрешённый ей набор операций; попытки обхода через прямые HTTP-запросы блокируются сервером с возвратом HTTP 403 Forbidden и записью в журнал безопасности.</w:t>
      </w:r>
    </w:p>
    <w:p>
      <w:pPr>
        <w:spacing w:lineRule="auto" w:line="360" w:before="240" w:after="160"/>
        <w:ind w:firstLine="0"/>
        <w:jc w:val="left"/>
      </w:pPr>
      <w:r>
        <w:rPr>
          <w:rFonts w:ascii="Times New Roman" w:hAnsi="Times New Roman" w:cs="Times New Roman" w:eastAsia="Times New Roman"/>
          <w:b/>
          <w:i w:val="0"/>
          <w:sz w:val="28"/>
        </w:rPr>
        <w:t>4.7. Юзабилити-тестирование и эвристическая оценка</w:t>
      </w:r>
    </w:p>
    <w:p>
      <w:pPr>
        <w:spacing w:lineRule="auto" w:line="360" w:before="0" w:after="0"/>
        <w:ind w:firstLine="709"/>
        <w:jc w:val="both"/>
      </w:pPr>
      <w:r>
        <w:rPr>
          <w:rFonts w:ascii="Times New Roman" w:hAnsi="Times New Roman" w:cs="Times New Roman" w:eastAsia="Times New Roman"/>
          <w:b w:val="0"/>
          <w:i w:val="0"/>
          <w:sz w:val="28"/>
        </w:rPr>
        <w:t>Юзабилити-тестирование проведено в двух формах: эвристическая оценка по 10 эвристикам Якоба Нильсена тремя экспертами и сценарное тестирование с двумя пользователями (диспетчер и техник). Эвристическая оценка не выявила критических нарушений; обнаруженные второстепенные замечания (отсутствие индикатора «обработка...» при длительной операции закрытия) учтены и устранены.</w:t>
      </w:r>
    </w:p>
    <w:p>
      <w:pPr>
        <w:spacing w:lineRule="auto" w:line="360" w:before="0" w:after="0"/>
        <w:ind w:firstLine="709"/>
        <w:jc w:val="both"/>
      </w:pPr>
      <w:r>
        <w:rPr>
          <w:rFonts w:ascii="Times New Roman" w:hAnsi="Times New Roman" w:cs="Times New Roman" w:eastAsia="Times New Roman"/>
          <w:b w:val="0"/>
          <w:i w:val="0"/>
          <w:sz w:val="28"/>
        </w:rPr>
        <w:t>Сценарии пользовательского тестирования:</w:t>
      </w:r>
    </w:p>
    <w:p>
      <w:pPr>
        <w:spacing w:lineRule="auto" w:line="360" w:before="0" w:after="0"/>
        <w:ind w:left="709" w:hanging="283"/>
        <w:jc w:val="both"/>
      </w:pPr>
      <w:r>
        <w:rPr>
          <w:rFonts w:ascii="Times New Roman" w:hAnsi="Times New Roman" w:cs="Times New Roman" w:eastAsia="Times New Roman"/>
          <w:b w:val="0"/>
          <w:i w:val="0"/>
          <w:sz w:val="28"/>
        </w:rPr>
        <w:t>— Сценарий 1: диспетчер регистрирует критическую заявку «Остановка конвейера №3» и назначает ответственным техника Иванова. Целевое время — 30 секунд. Фактическое — 22 секунды.</w:t>
      </w:r>
    </w:p>
    <w:p>
      <w:pPr>
        <w:spacing w:lineRule="auto" w:line="360" w:before="0" w:after="0"/>
        <w:ind w:left="709" w:hanging="283"/>
        <w:jc w:val="both"/>
      </w:pPr>
      <w:r>
        <w:rPr>
          <w:rFonts w:ascii="Times New Roman" w:hAnsi="Times New Roman" w:cs="Times New Roman" w:eastAsia="Times New Roman"/>
          <w:b w:val="0"/>
          <w:i w:val="0"/>
          <w:sz w:val="28"/>
        </w:rPr>
        <w:t>— Сценарий 2: техник открывает свою активную заявку, фиксирует использованные запчасти (2 позиции), вписывает комментарий и закрывает заявку. Целевое время — 60 секунд. Фактическое — 45 секунд.</w:t>
      </w:r>
    </w:p>
    <w:p>
      <w:pPr>
        <w:spacing w:lineRule="auto" w:line="360" w:before="0" w:after="0"/>
        <w:ind w:left="709" w:hanging="283"/>
        <w:jc w:val="both"/>
      </w:pPr>
      <w:r>
        <w:rPr>
          <w:rFonts w:ascii="Times New Roman" w:hAnsi="Times New Roman" w:cs="Times New Roman" w:eastAsia="Times New Roman"/>
          <w:b w:val="0"/>
          <w:i w:val="0"/>
          <w:sz w:val="28"/>
        </w:rPr>
        <w:t>— Сценарий 3: диспетчер находит все открытые критические заявки, нераспределённые между техниками, и распределяет их. Целевое время — 90 секунд на 5 заявок. Фактическое — 70 секунд.</w:t>
      </w:r>
    </w:p>
    <w:p>
      <w:pPr>
        <w:spacing w:lineRule="auto" w:line="360" w:before="0" w:after="0"/>
        <w:ind w:left="709" w:hanging="283"/>
        <w:jc w:val="both"/>
      </w:pPr>
      <w:r>
        <w:rPr>
          <w:rFonts w:ascii="Times New Roman" w:hAnsi="Times New Roman" w:cs="Times New Roman" w:eastAsia="Times New Roman"/>
          <w:b w:val="0"/>
          <w:i w:val="0"/>
          <w:sz w:val="28"/>
        </w:rPr>
        <w:t>— Сценарий 4: руководитель просматривает сводку за день (KPI Dashboard, число открытых заявок, оборудование в критическом состоянии). Целевое время — 10 секунд. Фактическое — 6 секунд.</w:t>
      </w:r>
    </w:p>
    <w:p>
      <w:pPr>
        <w:spacing w:lineRule="auto" w:line="360" w:before="0" w:after="0"/>
        <w:ind w:firstLine="709"/>
        <w:jc w:val="both"/>
      </w:pPr>
      <w:r>
        <w:rPr>
          <w:rFonts w:ascii="Times New Roman" w:hAnsi="Times New Roman" w:cs="Times New Roman" w:eastAsia="Times New Roman"/>
          <w:b w:val="0"/>
          <w:i w:val="0"/>
          <w:sz w:val="28"/>
        </w:rPr>
        <w:t>По итогам сценарного тестирования пользователи оценили интерфейс по шкале System Usability Scale (SUS), получив агрегированный балл 82.5 при норме «Excellent» 80+. Особо отмечены функция назначения «в один клик», цветовая маркировка приоритетов и канбан-доска как наглядное представление загрузки бригады.</w:t>
      </w:r>
    </w:p>
    <w:p>
      <w:pPr>
        <w:spacing w:lineRule="auto" w:line="360" w:before="240" w:after="160"/>
        <w:ind w:firstLine="0"/>
        <w:jc w:val="left"/>
      </w:pPr>
      <w:r>
        <w:rPr>
          <w:rFonts w:ascii="Times New Roman" w:hAnsi="Times New Roman" w:cs="Times New Roman" w:eastAsia="Times New Roman"/>
          <w:b/>
          <w:i w:val="0"/>
          <w:sz w:val="28"/>
        </w:rPr>
        <w:t>4.8. Выводы по разделу</w:t>
      </w:r>
    </w:p>
    <w:p>
      <w:pPr>
        <w:spacing w:lineRule="auto" w:line="360" w:before="0" w:after="0"/>
        <w:ind w:firstLine="709"/>
        <w:jc w:val="both"/>
      </w:pPr>
      <w:r>
        <w:rPr>
          <w:rFonts w:ascii="Times New Roman" w:hAnsi="Times New Roman" w:cs="Times New Roman" w:eastAsia="Times New Roman"/>
          <w:b w:val="0"/>
          <w:i w:val="0"/>
          <w:sz w:val="28"/>
        </w:rPr>
        <w:t>В четвёртом разделе автором проведено тестирование всех уровней системы: ключевого бизнес-алгоритма закрытия заявки (семь сценариев), REST-API с фильтрацией через Swagger UI и пользовательского интерфейса в трёх браузерах и на устройствах разных размеров. Дополнительно выполнены тестирование транзакционности с имитацией сбоев, тестирование производительности с измерением времени отклика API и перерисовки интерфейса, тестирование разграничения ролей по матрице «роль × операция», эвристическая оценка по Нильсену и юзабилити-тестирование с реальными пользователями (балл SUS = 82.5). Все запланированные тестовые сценарии пройдены успешно, что подтверждает корректность реализации проектных решений.</w:t>
      </w:r>
    </w:p>
    <w:p>
      <w:r>
        <w:br w:type="page"/>
      </w:r>
    </w:p>
    <w:p>
      <w:pPr>
        <w:spacing w:lineRule="auto" w:line="360" w:before="0" w:after="280"/>
        <w:ind w:firstLine="0"/>
        <w:jc w:val="center"/>
      </w:pPr>
      <w:r>
        <w:rPr>
          <w:rFonts w:ascii="Times New Roman" w:hAnsi="Times New Roman" w:cs="Times New Roman" w:eastAsia="Times New Roman"/>
          <w:b/>
          <w:i w:val="0"/>
          <w:sz w:val="28"/>
        </w:rPr>
        <w:t>ЗАКЛЮЧЕНИЕ</w:t>
      </w:r>
    </w:p>
    <w:p>
      <w:pPr>
        <w:spacing w:lineRule="auto" w:line="360" w:before="0" w:after="0"/>
        <w:ind w:firstLine="709"/>
        <w:jc w:val="both"/>
      </w:pPr>
      <w:r>
        <w:rPr>
          <w:rFonts w:ascii="Times New Roman" w:hAnsi="Times New Roman" w:cs="Times New Roman" w:eastAsia="Times New Roman"/>
          <w:b w:val="0"/>
          <w:i w:val="0"/>
          <w:sz w:val="28"/>
        </w:rPr>
        <w:t>В рамках выпускной квалификационной работы автором разработан полноценный программный комплекс для автоматизации деятельности технической службы предприятия, состоящий из спроектированной в третьей нормальной форме реляционной базы данных и клиент-серверного веб-приложения диспетчера. Все поставленные во введении задачи решены в полном объёме.</w:t>
      </w:r>
    </w:p>
    <w:p>
      <w:pPr>
        <w:spacing w:lineRule="auto" w:line="360" w:before="0" w:after="0"/>
        <w:ind w:firstLine="709"/>
        <w:jc w:val="both"/>
      </w:pPr>
      <w:r>
        <w:rPr>
          <w:rFonts w:ascii="Times New Roman" w:hAnsi="Times New Roman" w:cs="Times New Roman" w:eastAsia="Times New Roman"/>
          <w:b w:val="0"/>
          <w:i w:val="0"/>
          <w:sz w:val="28"/>
        </w:rPr>
        <w:t>Основные результаты работы заключаются в следующем. Во-первых, проведён детальный анализ предметной области учёта заявок на ТО; выделены одиннадцать сущностей и последовательно проведена их нормализация до 3НФ с обоснованием каждого шага декомпозиции; разработан DDL-скрипт развёртывания в SQLite с CHECK-валидацией (дата закрытия не может быть раньше создания, остаток запчастей не может быть отрицательным) и двумя триггерами бизнес-логики. Во-вторых, реализована серверная часть на FastAPI с четырьмя роутерами и полным набором REST-эндпоинтов, включая фильтрацию заявок по приоритету и исполнителю. В-третьих, реализован ключевой бизнес-алгоритм закрытия заявки с атомарной проверкой достаточности запчастей до начала списания, транзакционной целостностью операций и автоматическим обновлением остатков склада. В-четвёртых, разработан адаптивный интерфейс диспетчера в концепции «Enterprise Dashboard» с боковой панелью, цветовой маркировкой приоритетов, канбан-доской на CSS Grid и назначением исполнителя «в один клик».</w:t>
      </w:r>
    </w:p>
    <w:p>
      <w:pPr>
        <w:spacing w:lineRule="auto" w:line="360" w:before="0" w:after="0"/>
        <w:ind w:firstLine="709"/>
        <w:jc w:val="both"/>
      </w:pPr>
      <w:r>
        <w:rPr>
          <w:rFonts w:ascii="Times New Roman" w:hAnsi="Times New Roman" w:cs="Times New Roman" w:eastAsia="Times New Roman"/>
          <w:b w:val="0"/>
          <w:i w:val="0"/>
          <w:sz w:val="28"/>
        </w:rPr>
        <w:t>Практическая значимость работы состоит в том, что разработанная система может быть внедрена в действующем производственном, транспортном или складском предприятии без значительных доработок и без затрат на коммерческое программное обеспечение. Дальнейшим направлением развития системы автор видит интеграцию с системой автоматического оповещения исполнителей через SMS- и email-каналы, построение модуля плановой статистики по среднему времени ремонта (MTTR) и среднему времени наработки на отказ (MTBF) по каждой единице оборудования, а также разработку мобильного приложения для технического персонала.</w:t>
      </w:r>
    </w:p>
    <w:p>
      <w:pPr>
        <w:spacing w:lineRule="auto" w:line="360" w:before="0" w:after="0"/>
        <w:ind w:firstLine="709"/>
        <w:jc w:val="both"/>
      </w:pPr>
      <w:r>
        <w:rPr>
          <w:rFonts w:ascii="Times New Roman" w:hAnsi="Times New Roman" w:cs="Times New Roman" w:eastAsia="Times New Roman"/>
          <w:b w:val="0"/>
          <w:i w:val="0"/>
          <w:sz w:val="28"/>
        </w:rPr>
        <w:t>Среди перспективных направлений развития системы первоочередным представляется разработка мобильного приложения техника, работающего по принципу «QR-код оборудования → карточка заявки». Каждая единица оборудования снабжается стикером с QR-кодом, содержащим её инвентарный номер; техник, прибыв на место отказа, сканирует код смартфоном и немедленно получает на экран все открытые заявки по данному оборудованию, историю предыдущих ремонтов, технологические карты и список рекомендуемых запчастей. Закрытие заявки выполняется офлайн с последующей синхронизацией при появлении сети.</w:t>
      </w:r>
    </w:p>
    <w:p>
      <w:pPr>
        <w:spacing w:lineRule="auto" w:line="360" w:before="0" w:after="0"/>
        <w:ind w:firstLine="709"/>
        <w:jc w:val="both"/>
      </w:pPr>
      <w:r>
        <w:rPr>
          <w:rFonts w:ascii="Times New Roman" w:hAnsi="Times New Roman" w:cs="Times New Roman" w:eastAsia="Times New Roman"/>
          <w:b w:val="0"/>
          <w:i w:val="0"/>
          <w:sz w:val="28"/>
        </w:rPr>
        <w:t>Второе направление — внедрение прогнозного обслуживания (predictive maintenance) на основе методов машинного обучения. Накопленный в системе массив исторических данных (отметки времени, типы отказов, использованные запчасти, наработка на момент отказа) позволяет обучить модель градиентного бустинга (LightGBM, XGBoost), прогнозирующую вероятность отказа единицы оборудования в течение ближайших 7–30 дней. Положительный прогноз автоматически создаёт «упреждающую» заявку с приоритетом «средний», что сдвигает службу от реактивной к проактивной модели работы — основной цели концепции TPM.</w:t>
      </w:r>
    </w:p>
    <w:p>
      <w:pPr>
        <w:spacing w:lineRule="auto" w:line="360" w:before="0" w:after="0"/>
        <w:ind w:firstLine="709"/>
        <w:jc w:val="both"/>
      </w:pPr>
      <w:r>
        <w:rPr>
          <w:rFonts w:ascii="Times New Roman" w:hAnsi="Times New Roman" w:cs="Times New Roman" w:eastAsia="Times New Roman"/>
          <w:b w:val="0"/>
          <w:i w:val="0"/>
          <w:sz w:val="28"/>
        </w:rPr>
        <w:t>Третье направление — интеграция с системами контроля и управления доступом (СКУД) и автоматизированными системами управления технологическими процессами (АСУ ТП). СКУД-данные о фактическом присутствии техника в зоне оборудования позволяют автоматически фиксировать started_at заявки без действий пользователя; телеметрия АСУ ТП через протоколы OPC UA, MQTT и Modbus формирует автоматический поток регистрационных событий — превышение нормативных параметров эксплуатации немедленно порождает заявку с привязкой к конкретному оборудованию.</w:t>
      </w:r>
    </w:p>
    <w:p>
      <w:pPr>
        <w:spacing w:lineRule="auto" w:line="360" w:before="0" w:after="0"/>
        <w:ind w:firstLine="709"/>
        <w:jc w:val="both"/>
      </w:pPr>
      <w:r>
        <w:rPr>
          <w:rFonts w:ascii="Times New Roman" w:hAnsi="Times New Roman" w:cs="Times New Roman" w:eastAsia="Times New Roman"/>
          <w:b w:val="0"/>
          <w:i w:val="0"/>
          <w:sz w:val="28"/>
        </w:rPr>
        <w:t>Четвёртое направление — расширение аналитических дашбордов с включением общепринятых производственных KPI: Overall Equipment Effectiveness (OEE), Mean Time Between Failures (MTBF), Mean Time To Repair (MTTR), Mean Time To Acknowledge (MTTA), First Time Fix Rate (FTFR). Реализация в виде материализованных ежедневных снимков (таблица kpi_daily_snapshots) обеспечит быстрый рендеринг графиков за длительные периоды без нагрузки на оперативные таблицы.</w:t>
      </w:r>
    </w:p>
    <w:p>
      <w:pPr>
        <w:spacing w:lineRule="auto" w:line="360" w:before="0" w:after="0"/>
        <w:ind w:firstLine="709"/>
        <w:jc w:val="both"/>
      </w:pPr>
      <w:r>
        <w:rPr>
          <w:rFonts w:ascii="Times New Roman" w:hAnsi="Times New Roman" w:cs="Times New Roman" w:eastAsia="Times New Roman"/>
          <w:b w:val="0"/>
          <w:i w:val="0"/>
          <w:sz w:val="28"/>
        </w:rPr>
        <w:t>Наконец, пятое направление — формализация и цифровизация технологических карт обслуживания. Для каждой пары «тип оборудования × вид обслуживания» формируется чек-лист обязательных операций с нормативами времени и перечнем обязательных запчастей. Техник, открывая заявку на ТО, получает готовый чек-лист и отмечает выполнение каждого пункта; это обеспечивает повторяемость качества обслуживания и упрощает сертификационные аудиты по ISO 9001.</w:t>
      </w:r>
    </w:p>
    <w:p>
      <w:r>
        <w:br w:type="page"/>
      </w:r>
    </w:p>
    <w:p>
      <w:pPr>
        <w:spacing w:lineRule="auto" w:line="360" w:before="0" w:after="280"/>
        <w:ind w:firstLine="0"/>
        <w:jc w:val="center"/>
      </w:pPr>
      <w:r>
        <w:rPr>
          <w:rFonts w:ascii="Times New Roman" w:hAnsi="Times New Roman" w:cs="Times New Roman" w:eastAsia="Times New Roman"/>
          <w:b/>
          <w:i w:val="0"/>
          <w:sz w:val="28"/>
        </w:rPr>
        <w:t>СПИСОК ИСПОЛЬЗОВАННЫХ ИСТОЧНИКОВ</w:t>
      </w:r>
    </w:p>
    <w:p>
      <w:pPr>
        <w:spacing w:lineRule="auto" w:line="360" w:before="0" w:after="80"/>
        <w:ind w:left="425" w:hanging="425"/>
        <w:jc w:val="both"/>
      </w:pPr>
      <w:r>
        <w:rPr>
          <w:rFonts w:ascii="Times New Roman" w:hAnsi="Times New Roman" w:cs="Times New Roman" w:eastAsia="Times New Roman"/>
          <w:b w:val="0"/>
          <w:i w:val="0"/>
          <w:sz w:val="28"/>
        </w:rPr>
        <w:t>1. Дейт К.Дж. Введение в системы баз данных, 8-е изд. — М.: Вильямс, 2017. — 1328 с.</w:t>
      </w:r>
    </w:p>
    <w:p>
      <w:pPr>
        <w:spacing w:lineRule="auto" w:line="360" w:before="0" w:after="80"/>
        <w:ind w:left="425" w:hanging="425"/>
        <w:jc w:val="both"/>
      </w:pPr>
      <w:r>
        <w:rPr>
          <w:rFonts w:ascii="Times New Roman" w:hAnsi="Times New Roman" w:cs="Times New Roman" w:eastAsia="Times New Roman"/>
          <w:b w:val="0"/>
          <w:i w:val="0"/>
          <w:sz w:val="28"/>
        </w:rPr>
        <w:t>2. Кодд Э.Ф. Реляционная модель данных для больших разделяемых банков данных. — Communications of the ACM, 1970. — Vol. 13, No. 6. — pp. 377—387.</w:t>
      </w:r>
    </w:p>
    <w:p>
      <w:pPr>
        <w:spacing w:lineRule="auto" w:line="360" w:before="0" w:after="80"/>
        <w:ind w:left="425" w:hanging="425"/>
        <w:jc w:val="both"/>
      </w:pPr>
      <w:r>
        <w:rPr>
          <w:rFonts w:ascii="Times New Roman" w:hAnsi="Times New Roman" w:cs="Times New Roman" w:eastAsia="Times New Roman"/>
          <w:b w:val="0"/>
          <w:i w:val="0"/>
          <w:sz w:val="28"/>
        </w:rPr>
        <w:t>3. Гарсиа-Молина Г., Ульман Дж., Уидом Дж. Системы баз данных. Полный курс. — М.: Вильямс, 2003. — 1088 с.</w:t>
      </w:r>
    </w:p>
    <w:p>
      <w:pPr>
        <w:spacing w:lineRule="auto" w:line="360" w:before="0" w:after="80"/>
        <w:ind w:left="425" w:hanging="425"/>
        <w:jc w:val="both"/>
      </w:pPr>
      <w:r>
        <w:rPr>
          <w:rFonts w:ascii="Times New Roman" w:hAnsi="Times New Roman" w:cs="Times New Roman" w:eastAsia="Times New Roman"/>
          <w:b w:val="0"/>
          <w:i w:val="0"/>
          <w:sz w:val="28"/>
        </w:rPr>
        <w:t>4. Кузнецов С.Д. Основы баз данных. — М.: Интернет-университет информационных технологий: БИНОМ. Лаборатория знаний, 2007. — 484 с.</w:t>
      </w:r>
    </w:p>
    <w:p>
      <w:pPr>
        <w:spacing w:lineRule="auto" w:line="360" w:before="0" w:after="80"/>
        <w:ind w:left="425" w:hanging="425"/>
        <w:jc w:val="both"/>
      </w:pPr>
      <w:r>
        <w:rPr>
          <w:rFonts w:ascii="Times New Roman" w:hAnsi="Times New Roman" w:cs="Times New Roman" w:eastAsia="Times New Roman"/>
          <w:b w:val="0"/>
          <w:i w:val="0"/>
          <w:sz w:val="28"/>
        </w:rPr>
        <w:t>5. Дакетт Дж. HTML и CSS. Разработка и дизайн веб-сайтов. — М.: Эксмо, 2017. — 480 с.</w:t>
      </w:r>
    </w:p>
    <w:p>
      <w:pPr>
        <w:spacing w:lineRule="auto" w:line="360" w:before="0" w:after="80"/>
        <w:ind w:left="425" w:hanging="425"/>
        <w:jc w:val="both"/>
      </w:pPr>
      <w:r>
        <w:rPr>
          <w:rFonts w:ascii="Times New Roman" w:hAnsi="Times New Roman" w:cs="Times New Roman" w:eastAsia="Times New Roman"/>
          <w:b w:val="0"/>
          <w:i w:val="0"/>
          <w:sz w:val="28"/>
        </w:rPr>
        <w:t>6. ГОСТ 2.105-95. Единая система конструкторской документации. Общие требования к текстовым документам. — Бишкек: Кыргызстандарт, 1995. — 30 с.</w:t>
      </w:r>
    </w:p>
    <w:p>
      <w:pPr>
        <w:spacing w:lineRule="auto" w:line="360" w:before="0" w:after="80"/>
        <w:ind w:left="425" w:hanging="425"/>
        <w:jc w:val="both"/>
      </w:pPr>
      <w:r>
        <w:rPr>
          <w:rFonts w:ascii="Times New Roman" w:hAnsi="Times New Roman" w:cs="Times New Roman" w:eastAsia="Times New Roman"/>
          <w:b w:val="0"/>
          <w:i w:val="0"/>
          <w:sz w:val="28"/>
        </w:rPr>
        <w:t>7. ГОСТ 18322-2016. Система технического обслуживания и ремонта техники. Термины и определения. — М.: Стандартинформ, 2017. — 18 с.</w:t>
      </w:r>
    </w:p>
    <w:p>
      <w:pPr>
        <w:spacing w:lineRule="auto" w:line="360" w:before="0" w:after="80"/>
        <w:ind w:left="425" w:hanging="425"/>
        <w:jc w:val="both"/>
      </w:pPr>
      <w:r>
        <w:rPr>
          <w:rFonts w:ascii="Times New Roman" w:hAnsi="Times New Roman" w:cs="Times New Roman" w:eastAsia="Times New Roman"/>
          <w:b w:val="0"/>
          <w:i w:val="0"/>
          <w:sz w:val="28"/>
        </w:rPr>
        <w:t>8. Официальная документация фреймворка FastAPI. — URL: https://fastapi.tiangolo.com</w:t>
      </w:r>
    </w:p>
    <w:p>
      <w:pPr>
        <w:spacing w:lineRule="auto" w:line="360" w:before="0" w:after="80"/>
        <w:ind w:left="425" w:hanging="425"/>
        <w:jc w:val="both"/>
      </w:pPr>
      <w:r>
        <w:rPr>
          <w:rFonts w:ascii="Times New Roman" w:hAnsi="Times New Roman" w:cs="Times New Roman" w:eastAsia="Times New Roman"/>
          <w:b w:val="0"/>
          <w:i w:val="0"/>
          <w:sz w:val="28"/>
        </w:rPr>
        <w:t>9. Официальная документация СУБД SQLite. — URL: https://www.sqlite.org/docs.html</w:t>
      </w:r>
    </w:p>
    <w:p>
      <w:pPr>
        <w:spacing w:lineRule="auto" w:line="360" w:before="0" w:after="80"/>
        <w:ind w:left="425" w:hanging="425"/>
        <w:jc w:val="both"/>
      </w:pPr>
      <w:r>
        <w:rPr>
          <w:rFonts w:ascii="Times New Roman" w:hAnsi="Times New Roman" w:cs="Times New Roman" w:eastAsia="Times New Roman"/>
          <w:b w:val="0"/>
          <w:i w:val="0"/>
          <w:sz w:val="28"/>
        </w:rPr>
        <w:t>10. Pydantic V2 documentation. — URL: https://docs.pydantic.dev/2.x/</w:t>
      </w:r>
    </w:p>
    <w:p>
      <w:pPr>
        <w:spacing w:lineRule="auto" w:line="360" w:before="0" w:after="80"/>
        <w:ind w:left="425" w:hanging="425"/>
        <w:jc w:val="both"/>
      </w:pPr>
      <w:r>
        <w:rPr>
          <w:rFonts w:ascii="Times New Roman" w:hAnsi="Times New Roman" w:cs="Times New Roman" w:eastAsia="Times New Roman"/>
          <w:b w:val="0"/>
          <w:i w:val="0"/>
          <w:sz w:val="28"/>
        </w:rPr>
        <w:t>11. Спецификация HTML Living Standard, WHATWG. — URL: https://html.spec.whatwg.org</w:t>
      </w:r>
    </w:p>
    <w:p>
      <w:pPr>
        <w:spacing w:lineRule="auto" w:line="360" w:before="0" w:after="80"/>
        <w:ind w:left="425" w:hanging="425"/>
        <w:jc w:val="both"/>
      </w:pPr>
      <w:r>
        <w:rPr>
          <w:rFonts w:ascii="Times New Roman" w:hAnsi="Times New Roman" w:cs="Times New Roman" w:eastAsia="Times New Roman"/>
          <w:b w:val="0"/>
          <w:i w:val="0"/>
          <w:sz w:val="28"/>
        </w:rPr>
        <w:t>12. Спецификация CSS Grid Layout Module Level 1, W3C. — URL: https://www.w3.org/TR/css-grid-1/</w:t>
      </w:r>
    </w:p>
    <w:p>
      <w:pPr>
        <w:spacing w:lineRule="auto" w:line="360" w:before="0" w:after="80"/>
        <w:ind w:left="425" w:hanging="425"/>
        <w:jc w:val="both"/>
      </w:pPr>
      <w:r>
        <w:rPr>
          <w:rFonts w:ascii="Times New Roman" w:hAnsi="Times New Roman" w:cs="Times New Roman" w:eastAsia="Times New Roman"/>
          <w:b w:val="0"/>
          <w:i w:val="0"/>
          <w:sz w:val="28"/>
        </w:rPr>
        <w:t>13. MDN Web Docs: Using the Fetch API. — URL: https://developer.mozilla.org/ru/docs/Web/API/Fetch_API/Using_Fetch</w:t>
      </w:r>
    </w:p>
    <w:p>
      <w:pPr>
        <w:spacing w:lineRule="auto" w:line="360" w:before="0" w:after="80"/>
        <w:ind w:left="425" w:hanging="425"/>
        <w:jc w:val="both"/>
      </w:pPr>
      <w:r>
        <w:rPr>
          <w:rFonts w:ascii="Times New Roman" w:hAnsi="Times New Roman" w:cs="Times New Roman" w:eastAsia="Times New Roman"/>
          <w:b w:val="0"/>
          <w:i w:val="0"/>
          <w:sz w:val="28"/>
        </w:rPr>
        <w:t>14. OpenAPI Specification 3.1. — URL: https://spec.openapis.org/oas/v3.1.0</w:t>
      </w:r>
    </w:p>
    <w:p>
      <w:pPr>
        <w:spacing w:lineRule="auto" w:line="360" w:before="0" w:after="80"/>
        <w:ind w:left="425" w:hanging="425"/>
        <w:jc w:val="both"/>
      </w:pPr>
      <w:r>
        <w:rPr>
          <w:rFonts w:ascii="Times New Roman" w:hAnsi="Times New Roman" w:cs="Times New Roman" w:eastAsia="Times New Roman"/>
          <w:b w:val="0"/>
          <w:i w:val="0"/>
          <w:sz w:val="28"/>
        </w:rPr>
        <w:t>15. ГОСТ Р 7.0.97-2016. Система стандартов по информации, библиотечному и издательскому делу. Организационно-распорядительная документация. — М.: Стандартинформ, 2017.</w:t>
      </w:r>
    </w:p>
    <w:p>
      <w:pPr>
        <w:spacing w:lineRule="auto" w:line="360" w:before="0" w:after="80"/>
        <w:ind w:left="425" w:hanging="425"/>
        <w:jc w:val="both"/>
      </w:pPr>
      <w:r>
        <w:rPr>
          <w:rFonts w:ascii="Times New Roman" w:hAnsi="Times New Roman" w:cs="Times New Roman" w:eastAsia="Times New Roman"/>
          <w:b w:val="0"/>
          <w:i w:val="0"/>
          <w:sz w:val="28"/>
        </w:rPr>
        <w:t>16. ГОСТ 27.002-2015. Надёжность в технике. Термины и определения. — М.: Стандартинформ, 2016. — 24 с.</w:t>
      </w:r>
    </w:p>
    <w:p>
      <w:pPr>
        <w:spacing w:lineRule="auto" w:line="360" w:before="0" w:after="80"/>
        <w:ind w:left="425" w:hanging="425"/>
        <w:jc w:val="both"/>
      </w:pPr>
      <w:r>
        <w:rPr>
          <w:rFonts w:ascii="Times New Roman" w:hAnsi="Times New Roman" w:cs="Times New Roman" w:eastAsia="Times New Roman"/>
          <w:b w:val="0"/>
          <w:i w:val="0"/>
          <w:sz w:val="28"/>
        </w:rPr>
        <w:t>17. Накаджима С. Введение в TPM: Total Productive Maintenance. — Кембридж: Productivity Press, 1988. — 149 с.</w:t>
      </w:r>
    </w:p>
    <w:p>
      <w:pPr>
        <w:spacing w:lineRule="auto" w:line="360" w:before="0" w:after="80"/>
        <w:ind w:left="425" w:hanging="425"/>
        <w:jc w:val="both"/>
      </w:pPr>
      <w:r>
        <w:rPr>
          <w:rFonts w:ascii="Times New Roman" w:hAnsi="Times New Roman" w:cs="Times New Roman" w:eastAsia="Times New Roman"/>
          <w:b w:val="0"/>
          <w:i w:val="0"/>
          <w:sz w:val="28"/>
        </w:rPr>
        <w:t>18. Tufte E.R. The Visual Display of Quantitative Information. — Cheshire, CT: Graphics Press, 2nd ed., 2001. — 197 p.</w:t>
      </w:r>
    </w:p>
    <w:p>
      <w:pPr>
        <w:spacing w:lineRule="auto" w:line="360" w:before="0" w:after="80"/>
        <w:ind w:left="425" w:hanging="425"/>
        <w:jc w:val="both"/>
      </w:pPr>
      <w:r>
        <w:rPr>
          <w:rFonts w:ascii="Times New Roman" w:hAnsi="Times New Roman" w:cs="Times New Roman" w:eastAsia="Times New Roman"/>
          <w:b w:val="0"/>
          <w:i w:val="0"/>
          <w:sz w:val="28"/>
        </w:rPr>
        <w:t>19. Nielsen J. 10 Usability Heuristics for User Interface Design. — Nielsen Norman Group, 1994. — URL: https://www.nngroup.com/articles/ten-usability-heuristics/</w:t>
      </w:r>
    </w:p>
    <w:p>
      <w:pPr>
        <w:spacing w:lineRule="auto" w:line="360" w:before="0" w:after="80"/>
        <w:ind w:left="425" w:hanging="425"/>
        <w:jc w:val="both"/>
      </w:pPr>
      <w:r>
        <w:rPr>
          <w:rFonts w:ascii="Times New Roman" w:hAnsi="Times New Roman" w:cs="Times New Roman" w:eastAsia="Times New Roman"/>
          <w:b w:val="0"/>
          <w:i w:val="0"/>
          <w:sz w:val="28"/>
        </w:rPr>
        <w:t>20. Web Content Accessibility Guidelines (WCAG) 2.1. — W3C Recommendation, 2018. — URL: https://www.w3.org/TR/WCAG21/</w:t>
      </w:r>
    </w:p>
    <w:p>
      <w:pPr>
        <w:spacing w:lineRule="auto" w:line="360" w:before="0" w:after="80"/>
        <w:ind w:left="425" w:hanging="425"/>
        <w:jc w:val="both"/>
      </w:pPr>
      <w:r>
        <w:rPr>
          <w:rFonts w:ascii="Times New Roman" w:hAnsi="Times New Roman" w:cs="Times New Roman" w:eastAsia="Times New Roman"/>
          <w:b w:val="0"/>
          <w:i w:val="0"/>
          <w:sz w:val="28"/>
        </w:rPr>
        <w:t>21. IBM Maximo Application Suite Documentation: Asset Management and Maintenance. — URL: https://www.ibm.com/docs/en/maximo</w:t>
      </w:r>
    </w:p>
    <w:p>
      <w:pPr>
        <w:spacing w:lineRule="auto" w:line="360" w:before="0" w:after="80"/>
        <w:ind w:left="425" w:hanging="425"/>
        <w:jc w:val="both"/>
      </w:pPr>
      <w:r>
        <w:rPr>
          <w:rFonts w:ascii="Times New Roman" w:hAnsi="Times New Roman" w:cs="Times New Roman" w:eastAsia="Times New Roman"/>
          <w:b w:val="0"/>
          <w:i w:val="0"/>
          <w:sz w:val="28"/>
        </w:rPr>
        <w:t>22. SAP Plant Maintenance (PM) — Application Help. — URL: https://help.sap.com/docs/SAP_S4HANA_ON-PREMISE</w:t>
      </w:r>
    </w:p>
    <w:p>
      <w:pPr>
        <w:spacing w:lineRule="auto" w:line="360" w:before="0" w:after="80"/>
        <w:ind w:left="425" w:hanging="425"/>
        <w:jc w:val="both"/>
      </w:pPr>
      <w:r>
        <w:rPr>
          <w:rFonts w:ascii="Times New Roman" w:hAnsi="Times New Roman" w:cs="Times New Roman" w:eastAsia="Times New Roman"/>
          <w:b w:val="0"/>
          <w:i w:val="0"/>
          <w:sz w:val="28"/>
        </w:rPr>
        <w:t>23. Anderson D.J. Kanban: Successful Evolutionary Change for Your Technology Business. — Sequim, WA: Blue Hole Press, 2010. — 280 p.</w:t>
      </w:r>
    </w:p>
    <w:p>
      <w:pPr>
        <w:spacing w:lineRule="auto" w:line="360" w:before="0" w:after="80"/>
        <w:ind w:left="425" w:hanging="425"/>
        <w:jc w:val="both"/>
      </w:pPr>
      <w:r>
        <w:rPr>
          <w:rFonts w:ascii="Times New Roman" w:hAnsi="Times New Roman" w:cs="Times New Roman" w:eastAsia="Times New Roman"/>
          <w:b w:val="0"/>
          <w:i w:val="0"/>
          <w:sz w:val="28"/>
        </w:rPr>
        <w:t>24. Haerder T., Reuter A. Principles of Transaction-Oriented Database Recovery. — ACM Computing Surveys, 1983. — Vol. 15, No. 4. — pp. 287—317.</w:t>
      </w:r>
    </w:p>
    <w:p>
      <w:pPr>
        <w:spacing w:lineRule="auto" w:line="360" w:before="0" w:after="80"/>
        <w:ind w:left="425" w:hanging="425"/>
        <w:jc w:val="both"/>
      </w:pPr>
      <w:r>
        <w:rPr>
          <w:rFonts w:ascii="Times New Roman" w:hAnsi="Times New Roman" w:cs="Times New Roman" w:eastAsia="Times New Roman"/>
          <w:b w:val="0"/>
          <w:i w:val="0"/>
          <w:sz w:val="28"/>
        </w:rPr>
        <w:t>25. Fielding R.T. Architectural Styles and the Design of Network-based Software Architectures. — PhD dissertation, University of California, Irvine, 2000.</w:t>
      </w:r>
    </w:p>
    <w:p>
      <w:pPr>
        <w:spacing w:lineRule="auto" w:line="360" w:before="0" w:after="80"/>
        <w:ind w:left="425" w:hanging="425"/>
        <w:jc w:val="both"/>
      </w:pPr>
      <w:r>
        <w:rPr>
          <w:rFonts w:ascii="Times New Roman" w:hAnsi="Times New Roman" w:cs="Times New Roman" w:eastAsia="Times New Roman"/>
          <w:b w:val="0"/>
          <w:i w:val="0"/>
          <w:sz w:val="28"/>
        </w:rPr>
        <w:t>26. Палмер Н., Бертс Дж. EAM Best Practices: Strategies for Implementing Enterprise Asset Management. — Reliabilityweb.com Press, 2017. — 312 p.</w:t>
      </w:r>
    </w:p>
    <w:p>
      <w:pPr>
        <w:spacing w:lineRule="auto" w:line="360" w:before="0" w:after="80"/>
        <w:ind w:left="425" w:hanging="425"/>
        <w:jc w:val="both"/>
      </w:pPr>
      <w:r>
        <w:rPr>
          <w:rFonts w:ascii="Times New Roman" w:hAnsi="Times New Roman" w:cs="Times New Roman" w:eastAsia="Times New Roman"/>
          <w:b w:val="0"/>
          <w:i w:val="0"/>
          <w:sz w:val="28"/>
        </w:rPr>
        <w:t>27. ISO/IEC 20922:2016. Information technology — Message Queuing Telemetry Transport (MQTT) v3.1.1. — Geneva: ISO, 2016.</w:t>
      </w:r>
    </w:p>
    <w:p>
      <w:pPr>
        <w:spacing w:lineRule="auto" w:line="360" w:before="0" w:after="80"/>
        <w:ind w:left="425" w:hanging="425"/>
        <w:jc w:val="both"/>
      </w:pPr>
      <w:r>
        <w:rPr>
          <w:rFonts w:ascii="Times New Roman" w:hAnsi="Times New Roman" w:cs="Times New Roman" w:eastAsia="Times New Roman"/>
          <w:b w:val="0"/>
          <w:i w:val="0"/>
          <w:sz w:val="28"/>
        </w:rPr>
        <w:t>28. IEC 62541. OPC Unified Architecture — Part 1: Overview and Concepts. — Geneva: IEC, 2020.</w:t>
      </w:r>
    </w:p>
    <w:p>
      <w:pPr>
        <w:spacing w:lineRule="auto" w:line="360" w:before="0" w:after="80"/>
        <w:ind w:left="425" w:hanging="425"/>
        <w:jc w:val="both"/>
      </w:pPr>
      <w:r>
        <w:rPr>
          <w:rFonts w:ascii="Times New Roman" w:hAnsi="Times New Roman" w:cs="Times New Roman" w:eastAsia="Times New Roman"/>
          <w:b w:val="0"/>
          <w:i w:val="0"/>
          <w:sz w:val="28"/>
        </w:rPr>
        <w:t>29. Beizer B. Software Testing Techniques. — 2nd ed. — New York: Van Nostrand Reinhold, 1990. — 550 p.</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