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ОБРАЗОВАНИЯ И НАУКИ КЫРГЫЗСКОЙ РЕСПУБЛИКИ</w:t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{ПОЛНОЕ НАИМЕНОВАНИЕ УЧЕБНОГО ЗАВЕДЕНИЯ}</w:t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Факультет информационных технологий</w:t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Кафедра программной инженерии</w:t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ПОЯСНИТЕЛЬНАЯ ЗАПИСКА</w:t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 выпускной квалификационной работе</w:t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тему:</w:t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«Разработка базы данных для учёта заявок на техническое обслуживание»</w:t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Rule="auto" w:line="360" w:before="0" w:after="16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Выполнил студент: ________________________________________</w:t>
      </w:r>
    </w:p>
    <w:p>
      <w:pPr>
        <w:spacing w:lineRule="auto" w:line="360" w:before="0" w:after="16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Группа: _________________________________________________</w:t>
      </w:r>
    </w:p>
    <w:p>
      <w:pPr>
        <w:spacing w:lineRule="auto" w:line="360" w:before="0" w:after="16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Научный руководитель: ____________________________________</w:t>
      </w:r>
    </w:p>
    <w:p>
      <w:pPr>
        <w:spacing w:lineRule="auto" w:line="360" w:before="0" w:after="16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Заведующий кафедрой: ____________________________________</w:t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Бишкек — 2026</w:t>
      </w:r>
    </w:p>
    <w:p>
      <w:r>
        <w:br w:type="page"/>
      </w:r>
    </w:p>
    <w:p>
      <w:pPr>
        <w:spacing w:lineRule="auto" w:line="360" w:before="0" w:after="28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СОДЕРЖАНИЕ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ВВЕДЕНИЕ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3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1. ПРОЕКТИРОВАНИЕ БАЗЫ ДАННЫХ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6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1.1. Характеристика предметной области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6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1.2. Цели и задачи раздела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9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1.3. Приведение к первой нормальной форме (1НФ)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11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1.4. Приведение ко второй нормальной форме (2НФ)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13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1.5. Приведение к третьей нормальной форме (3НФ)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16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1.6. Логическая схема базы данных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20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1.7. Реализация в SQLite (DDL-скрипт)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23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1.8. Выводы по разделу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30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2. ПРОГРАММНАЯ РЕАЛИЗАЦИЯ СЕРВЕРНОЙ ЧАСТИ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31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2.1. Обоснование выбора инструментальных средств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31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2.2. Архитектура серверного приложения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33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2.3. CRUD-эндпоинты для заявок и оборудования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36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2.4. Алгоритм закрытия заявки со списанием запчастей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39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2.5. Транзакционная целостность операций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44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2.6. Выводы по разделу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46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3. ПРОГРАММНАЯ РЕАЛИЗАЦИЯ КЛИЕНТСКОЙ ЧАСТИ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47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3.1. UX/UI-концепция «Enterprise Dashboard»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47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3.2. Структура интерфейса диспетчера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50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3.3. Цветовая маркировка приоритетов в таблице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53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3.4. Канбан-доска заявок на CSS Grid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55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3.5. Назначение исполнителя «в один клик»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58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3.6. Динамическое закрытие заявки и Fetch API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60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3.7. Адаптивная вёрстка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63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3.8. Выводы по разделу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65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4. ТЕСТИРОВАНИЕ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66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4.1. Тестирование ключевого алгоритма закрытия заявки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66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4.2. Тестирование REST-API и фильтрации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69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4.3. Тестирование пользовательского интерфейса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71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4.4. Выводы по разделу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73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ЗАКЛЮЧЕНИЕ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74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СПИСОК ИСПОЛЬЗОВАННЫХ ИСТОЧНИКОВ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77</w:t>
            </w:r>
          </w:p>
        </w:tc>
      </w:tr>
    </w:tbl>
    <w:p>
      <w:r>
        <w:br w:type="page"/>
      </w:r>
    </w:p>
    <w:p>
      <w:pPr>
        <w:spacing w:lineRule="auto" w:line="360" w:before="0" w:after="28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ВВЕДЕНИЕ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современной промышленности коэффициент технической готовности оборудования (Overall Equipment Effectiveness) является одним из ключевых показателей эффективности производственного предприятия. Внеплановые простои станков, конвейерных линий и погрузочной техники по причине поздно обнаруженных неисправностей приводят к прямым финансовым потерям, нарушению графика поставок и снижению маржинальности производства. По данным отраслевых исследований, до 30% продолжительности устранения инцидентов на промышленных предприятиях занимают не сами ремонтные работы, а сопутствующие организационные процессы: поиск виновного оборудования по бумажным журналам, обнаружение и доставка запасных частей со склада, согласование исполнителя.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Решением указанных проблем является внедрение специализированной информационной системы учёта заявок на техническое обслуживание, в основе которой лежит спроектированная по правилам теории реляционных баз данных предметно-ориентированная база данных и веб-приложение для диспетчера и техников. Тема выпускной квалификационной работы — «Разработка базы данных для учёта заявок на техническое обслуживание» — является актуальной как с теоретической, так и с практической точки зрения.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Объектом исследования являются бизнес-процессы технической службы предприятия: регистрация инцидента или планового ТО, назначение исполнителя, контроль выполнения работ, фиксация фактически использованных запчастей и закрытие заявки.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Предметом исследования являются методы проектирования реляционных баз данных, средства реализации клиент-серверных веб-приложений на стеке Python — SQLite — HTML/CSS/JavaScript и подходы к обеспечению транзакционной целостности складских операций средствами СУБД и прикладного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Цель работы — спроектировать в третьей нормальной форме базу данных учёта заявок на ТО, разработать веб-приложение диспетчера для её управления и подготовить пояснительную записку по ГОСТ КР 2.105-95.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достижения поставленной цели в работе решаются следующие задачи: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проведён анализ предметной области и выделены сущности, образующие ядро информационной модели службы технической поддержки;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разработана нормализованная до 3НФ реляционная модель базы данных с обоснованием каждого шага декомпозиции;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реализован DDL-скрипт развёртывания в SQLite с ограничениями целостности, проверками CHECK на корректность дат (closed_at &gt;= created_at), триггером автоматического аудита изменений статуса и защитой от отрицательных остатков на складе;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разработан REST-API на языке Python (FastAPI), реализующий CRUD-операции над заявками, фильтрацию по приоритету и исполнителю, а также ключевой алгоритм закрытия заявки с атомарным списанием запчастей со склада;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разработан адаптивный интерфейс диспетчера в концепции «Enterprise Dashboard» с боковой панелью, журналом заявок с цветовой маркировкой приоритетов и канбан-доской на технологиях HTML5, CSS3 и Vanilla JavaScript (Fetch API);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проведено модульное и интеграционное тестирование разработанной системы.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Методологической основой работы служат труды по теории реляционных баз данных Э.Ф. Кодда, К.Дж. Дейта, материалы официальной документации SQLite и FastAPI, спецификации W3C по HTML5 и CSS3 и национальный стандарт оформления Кыргызской Республики ГОСТ 2.105-95.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Практическая значимость работы заключается в том, что разработанная система может быть внедрена в действующем производственном или транспортном предприятии без значительных доработок и без затрат на коммерческую СУБД, поскольку SQLite распространяется свободно и не требует выделенного сервера.</w:t>
      </w:r>
    </w:p>
    <w:p>
      <w:pPr>
        <w:spacing w:lineRule="auto" w:line="360" w:before="160" w:after="1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333333"/>
          <w:sz w:val="28"/>
        </w:rPr>
        <w:t>{Скриншот: Главный экран разработанного веб-приложения MaintOps — Dashboard с KPI открытых заявок, карточками критических неисправностей и блоком запчастей ниже минимума}</w:t>
      </w: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В.1 — Главный экран приложения «MaintOps»</w:t>
      </w:r>
    </w:p>
    <w:p>
      <w:r>
        <w:br w:type="page"/>
      </w:r>
    </w:p>
    <w:p>
      <w:pPr>
        <w:spacing w:lineRule="auto" w:line="360" w:before="0" w:after="36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1. ПРОЕКТИРОВАНИЕ БАЗЫ ДАННЫХ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1.1. Характеристика предметной области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Предметная область — деятельность технической службы промышленного, транспортного или складского предприятия, эксплуатирующего десятки и сотни единиц оборудования: станков, конвейерных линий, насосов, систем вентиляции, погрузчиков. Каждая единица требует двух типов технического обслуживания: планового (по регламенту наработки или календарю) и аварийного (по факту инцидента). Оба процесса проходят через единое окно — систему учёта заявок, в которую попадают регистрация инцидента, назначение исполнителя, контроль выполнения работ, фиксация фактически использованных запчастей и закрытие заявки.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предметной области автором выделяются одиннадцать сущностей, представленных в таблице 1.1.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№</w:t>
            </w:r>
          </w:p>
        </w:tc>
        <w:tc>
          <w:tcPr>
            <w:tcW w:type="dxa" w:w="2551"/>
            <w:vAlign w:val="center"/>
          </w:tcPr>
          <w:p>
            <w:pPr>
              <w:spacing w:lineRule="auto" w:line="276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Сущность</w:t>
            </w:r>
          </w:p>
        </w:tc>
        <w:tc>
          <w:tcPr>
            <w:tcW w:type="dxa" w:w="5953"/>
            <w:vAlign w:val="center"/>
          </w:tcPr>
          <w:p>
            <w:pPr>
              <w:spacing w:lineRule="auto" w:line="276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Назначение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</w:t>
            </w:r>
          </w:p>
        </w:tc>
        <w:tc>
          <w:tcPr>
            <w:tcW w:type="dxa" w:w="255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equipment</w:t>
            </w:r>
          </w:p>
        </w:tc>
        <w:tc>
          <w:tcPr>
            <w:tcW w:type="dxa" w:w="5953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Единицы оборудования предприятия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2</w:t>
            </w:r>
          </w:p>
        </w:tc>
        <w:tc>
          <w:tcPr>
            <w:tcW w:type="dxa" w:w="255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equipment_types</w:t>
            </w:r>
          </w:p>
        </w:tc>
        <w:tc>
          <w:tcPr>
            <w:tcW w:type="dxa" w:w="5953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Типы / категории оборудования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3</w:t>
            </w:r>
          </w:p>
        </w:tc>
        <w:tc>
          <w:tcPr>
            <w:tcW w:type="dxa" w:w="255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staff</w:t>
            </w:r>
          </w:p>
        </w:tc>
        <w:tc>
          <w:tcPr>
            <w:tcW w:type="dxa" w:w="5953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Сотрудники (диспетчеры, инженеры, техники)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maintenance_requests</w:t>
            </w:r>
          </w:p>
        </w:tc>
        <w:tc>
          <w:tcPr>
            <w:tcW w:type="dxa" w:w="5953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Заявки на техническое обслуживание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5</w:t>
            </w:r>
          </w:p>
        </w:tc>
        <w:tc>
          <w:tcPr>
            <w:tcW w:type="dxa" w:w="255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request_statuses</w:t>
            </w:r>
          </w:p>
        </w:tc>
        <w:tc>
          <w:tcPr>
            <w:tcW w:type="dxa" w:w="5953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Справочник статусов обработки заявок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6</w:t>
            </w:r>
          </w:p>
        </w:tc>
        <w:tc>
          <w:tcPr>
            <w:tcW w:type="dxa" w:w="255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spare_parts</w:t>
            </w:r>
          </w:p>
        </w:tc>
        <w:tc>
          <w:tcPr>
            <w:tcW w:type="dxa" w:w="5953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Склад запчастей с остатками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7</w:t>
            </w:r>
          </w:p>
        </w:tc>
        <w:tc>
          <w:tcPr>
            <w:tcW w:type="dxa" w:w="255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request_parts</w:t>
            </w:r>
          </w:p>
        </w:tc>
        <w:tc>
          <w:tcPr>
            <w:tcW w:type="dxa" w:w="5953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Списание деталей под заявку (M:N)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8</w:t>
            </w:r>
          </w:p>
        </w:tc>
        <w:tc>
          <w:tcPr>
            <w:tcW w:type="dxa" w:w="255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staff_roles</w:t>
            </w:r>
          </w:p>
        </w:tc>
        <w:tc>
          <w:tcPr>
            <w:tcW w:type="dxa" w:w="5953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Справочник ролей сотрудников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9</w:t>
            </w:r>
          </w:p>
        </w:tc>
        <w:tc>
          <w:tcPr>
            <w:tcW w:type="dxa" w:w="255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priorities</w:t>
            </w:r>
          </w:p>
        </w:tc>
        <w:tc>
          <w:tcPr>
            <w:tcW w:type="dxa" w:w="5953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Приоритеты с SLA и цветовой кодировкой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10</w:t>
            </w:r>
          </w:p>
        </w:tc>
        <w:tc>
          <w:tcPr>
            <w:tcW w:type="dxa" w:w="255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locations</w:t>
            </w:r>
          </w:p>
        </w:tc>
        <w:tc>
          <w:tcPr>
            <w:tcW w:type="dxa" w:w="5953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Места установки оборудования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11</w:t>
            </w:r>
          </w:p>
        </w:tc>
        <w:tc>
          <w:tcPr>
            <w:tcW w:type="dxa" w:w="255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request_status_history</w:t>
            </w:r>
          </w:p>
        </w:tc>
        <w:tc>
          <w:tcPr>
            <w:tcW w:type="dxa" w:w="5953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Аудит-журнал смен статусов заявок</w:t>
            </w:r>
          </w:p>
        </w:tc>
      </w:tr>
    </w:tbl>
    <w:p>
      <w:pPr>
        <w:spacing w:lineRule="auto" w:line="360" w:before="0" w:after="120"/>
        <w:ind w:firstLine="0"/>
        <w:jc w:val="both"/>
      </w:pP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1.1 — Состав отношений базы данных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1.2. Цели и задачи раздела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Целью настоящего раздела является получение нормализованной до третьей нормальной формы схемы реляционной базы данных, готовой к развёртыванию в СУБД SQLite. Для этого решаются следующие задачи: формирование ненормализованного представления заявки, последовательное приведение к 1НФ, 2НФ и 3НФ с обоснованием каждого шага декомпозиции, а также формирование DDL-скрипта с ограничениями целостности и триггерами бизнес-логики.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1.3. Приведение к первой нормальной форме (1НФ)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Согласно общепринятому определению, отношение находится в первой нормальной форме, если все его атрибуты принимают только атомарные (неделимые) значения, повторяющиеся группы вынесены в отдельные кортежи, а для каждой строки определён первичный ключ. Автором рассмотрено ненормализованное «плоское» представление журнала заявок, типичное для бумажного учёта.</w:t>
      </w:r>
    </w:p>
    <w:p>
      <w:pPr>
        <w:spacing w:lineRule="auto" w:line="276" w:before="80" w:after="160"/>
        <w:ind w:firstLine="0"/>
        <w:jc w:val="left"/>
      </w:pPr>
      <w:r>
        <w:rPr>
          <w:rFonts w:ascii="Courier New" w:hAnsi="Courier New" w:cs="Courier New"/>
          <w:sz w:val="22"/>
        </w:rPr>
        <w:t>requests_flat (</w:t>
        <w:br/>
        <w:t xml:space="preserve">    request_id,</w:t>
        <w:br/>
        <w:t xml:space="preserve">    equipment_inv_number, equipment_name,</w:t>
        <w:br/>
        <w:t xml:space="preserve">    equipment_type_name, equipment_type_normative_mttr_hours,</w:t>
        <w:br/>
        <w:t xml:space="preserve">    location_name, location_building,</w:t>
        <w:br/>
        <w:t xml:space="preserve">    technician_fio, technician_phones,</w:t>
        <w:br/>
        <w:t xml:space="preserve">    technician_role_name,</w:t>
        <w:br/>
        <w:t xml:space="preserve">    priority_name, priority_color, priority_sla_hours,</w:t>
        <w:br/>
        <w:t xml:space="preserve">    status_name, status_color,</w:t>
        <w:br/>
        <w:t xml:space="preserve">    description, planned_date,</w:t>
        <w:br/>
        <w:t xml:space="preserve">    used_parts,                      -- 'Подшипник × 2, Ремень × 1'</w:t>
        <w:br/>
        <w:t xml:space="preserve">    created_at, closed_at, created_by_fio</w:t>
        <w:br/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этой структуре выявлены три нарушения первой нормальной формы. Во-первых, поле technician_phones хранит список телефонов через запятую — нарушение атомарности. Во-вторых, поле used_parts хранит набор запчастей с количествами — типичная повторяющаяся группа. В-третьих, отсутствует явный первичный ключ. Автором проведены следующие преобразования: введён суррогатный ключ id во всех таблицах; для основного контакта сотрудника оставлено одно поле phone; для связи «заявка — запчасти с количеством» выделено самостоятельное связующее отношение request_parts (request_id, part_id, quantity_used, unit_price_at_use). После применения преобразований все отношения удовлетворяют 1НФ.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1.4. Приведение ко второй нормальной форме (2НФ)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Отношение находится во второй нормальной форме, если оно находится в 1НФ и не содержит частичных функциональных зависимостей неключевых атрибутов от части составного первичного ключа. Все основные отношения (equipment, staff, maintenance_requests, spare_parts) спроектированы с однополевым суррогатным ключом id, поэтому частичные зависимости в принципе невозможны: нет составного ключа — нет и его части.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Особого внимания требует связующее отношение request_parts с естественным составным ключом (request_id, part_id). Помимо ключевых атрибутов, отношение содержит quantity_used (количество списанных деталей) и unit_price_at_use (цена детали на момент списания). Оба атрибута зависят от полной пары ключей: для одной запчасти в разных заявках значения отличаются, для одной заявки и разных запчастей тоже. Частичных зависимостей нет, отношение находится в 2НФ.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Уникальность естественных бизнес-ключей обеспечивается ограничениями UNIQUE уровня СУБД: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equipment.inventory_number — у каждой единицы оборудования свой инвентарный номер;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spare_parts.sku — артикул запчасти;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priorities.code, request_statuses.code, staff_roles.code — справочные коды;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staff.login и staff.email — учётные данные сотрудника;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request_parts (request_id, part_id) — составной первичный ключ блокирует повторное списание одной запчасти в одну заявку.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1.5. Приведение к третьей нормальной форме (3НФ)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Отношение находится в третьей нормальной форме, если оно в 2НФ и не содержит транзитивных функциональных зависимостей неключевых атрибутов от первичного ключа. В исходной плоской структуре автором выявлены шесть групп транзитивных зависимостей: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vAlign w:val="center"/>
          </w:tcPr>
          <w:p>
            <w:pPr>
              <w:spacing w:lineRule="auto" w:line="276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Источник</w:t>
            </w:r>
          </w:p>
        </w:tc>
        <w:tc>
          <w:tcPr>
            <w:tcW w:type="dxa" w:w="3402"/>
            <w:vAlign w:val="center"/>
          </w:tcPr>
          <w:p>
            <w:pPr>
              <w:spacing w:lineRule="auto" w:line="276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Зависимый атрибут</w:t>
            </w:r>
          </w:p>
        </w:tc>
        <w:tc>
          <w:tcPr>
            <w:tcW w:type="dxa" w:w="2835"/>
            <w:vAlign w:val="center"/>
          </w:tcPr>
          <w:p>
            <w:pPr>
              <w:spacing w:lineRule="auto" w:line="276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Транзит через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request_id</w:t>
            </w:r>
          </w:p>
        </w:tc>
        <w:tc>
          <w:tcPr>
            <w:tcW w:type="dxa" w:w="3402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equipment_type_normative_mttr_hours</w:t>
            </w:r>
          </w:p>
        </w:tc>
        <w:tc>
          <w:tcPr>
            <w:tcW w:type="dxa" w:w="28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equipment_type_name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request_id</w:t>
            </w:r>
          </w:p>
        </w:tc>
        <w:tc>
          <w:tcPr>
            <w:tcW w:type="dxa" w:w="3402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location_building</w:t>
            </w:r>
          </w:p>
        </w:tc>
        <w:tc>
          <w:tcPr>
            <w:tcW w:type="dxa" w:w="28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location_name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request_id</w:t>
            </w:r>
          </w:p>
        </w:tc>
        <w:tc>
          <w:tcPr>
            <w:tcW w:type="dxa" w:w="3402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technician_role_name</w:t>
            </w:r>
          </w:p>
        </w:tc>
        <w:tc>
          <w:tcPr>
            <w:tcW w:type="dxa" w:w="28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technician_fio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request_id</w:t>
            </w:r>
          </w:p>
        </w:tc>
        <w:tc>
          <w:tcPr>
            <w:tcW w:type="dxa" w:w="3402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priority_color, priority_sla_hours</w:t>
            </w:r>
          </w:p>
        </w:tc>
        <w:tc>
          <w:tcPr>
            <w:tcW w:type="dxa" w:w="28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priority_name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request_id</w:t>
            </w:r>
          </w:p>
        </w:tc>
        <w:tc>
          <w:tcPr>
            <w:tcW w:type="dxa" w:w="3402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status_color</w:t>
            </w:r>
          </w:p>
        </w:tc>
        <w:tc>
          <w:tcPr>
            <w:tcW w:type="dxa" w:w="28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status_name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staff.id</w:t>
            </w:r>
          </w:p>
        </w:tc>
        <w:tc>
          <w:tcPr>
            <w:tcW w:type="dxa" w:w="3402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role_name</w:t>
            </w:r>
          </w:p>
        </w:tc>
        <w:tc>
          <w:tcPr>
            <w:tcW w:type="dxa" w:w="28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role_code</w:t>
            </w:r>
          </w:p>
        </w:tc>
      </w:tr>
    </w:tbl>
    <w:p>
      <w:pPr>
        <w:spacing w:lineRule="auto" w:line="360" w:before="0" w:after="120"/>
        <w:ind w:firstLine="0"/>
        <w:jc w:val="both"/>
      </w:pP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1.2 — Транзитивные зависимости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Декомпозиция проведена путём выделения отдельных справочников. Характеристики типа оборудования (норматив MTTR, описание) хранятся только в equipment_types; адрес и корпус — только в locations; цвет приоритета и SLA-норматив в часах — только в priorities; цвет статуса — только в request_statuses; название роли — только в staff_roles; ФИО, телефон, email сотрудника — только в staff. В оперативных отношениях (maintenance_requests, request_parts, request_status_history) хранятся исключительно внешние ключи на справочники и собственные атрибуты сущности.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Финансово-учётный аспект спроектирован с принципиальным разделением двух типов цен: текущей цены запчасти spare_parts.unit_price (отражает рыночную стоимость на сегодня) и исторической цены request_parts.unit_price_at_use (фиксируется в момент списания). Это техническое разделение сохраняет историческую достоверность отчётов по стоимости закрытых заявок при произвольном изменении прейскуранта в будущем.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1.6. Логическая схема базы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Финальная нормализованная модель содержит одиннадцать отношений. Связи реализуются ограничениями FOREIGN KEY со стратегиями ON DELETE RESTRICT для справочников и ON DELETE CASCADE для журнала истории (удаление заявки каскадом удаляет связанную историю статусов).</w:t>
      </w:r>
    </w:p>
    <w:p>
      <w:pPr>
        <w:spacing w:lineRule="auto" w:line="360" w:before="160" w:after="1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333333"/>
          <w:sz w:val="28"/>
        </w:rPr>
        <w:t>{Скриншот: ER-диаграмма базы данных учёта заявок на ТО в 3НФ, построенная в DBeaver, с одиннадцатью таблицами и связями}</w:t>
      </w: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1.1 — Логическая схема базы данных в 3НФ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Ключевые функциональные зависимости между отношениями: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staff_roles 1 → * staff;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locations 1 → * equipment; equipment_types 1 → * equipment;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equipment 1 → * maintenance_requests;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priorities 1 → * maintenance_requests; request_statuses 1 → * maintenance_requests;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staff 1 → * maintenance_requests (как создатель и как исполнитель);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maintenance_requests 1 → * request_parts * ← 1 spare_parts (связь M:N через связующую таблицу);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maintenance_requests 1 → * request_status_history.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1.7. Реализация в SQLite (DDL-скрипт)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DDL-скрипт развёртывания базы данных написан под СУБД SQLite версии 3.35 и выше. Поддержка внешних ключей включается командой PRAGMA foreign_keys = ON, журнал WAL обеспечивает одновременное чтение и запись. Скрипт содержит создание одиннадцати таблиц, вспомогательных индексов и двух триггеров бизнес-логики.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Ключевые CHECK-ограничения уровня СУБД: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spare_parts.quantity &gt;= 0, spare_parts.min_quantity &gt;= 0 — неотрицательный остаток на складе;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request_parts.quantity_used &gt; 0, request_parts.unit_price_at_use &gt;= 0;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maintenance_requests.closed_at &gt;= created_at — дата закрытия не может предшествовать дате открытия;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maintenance_requests.started_at &gt;= created_at — дата начала работы не предшествует регистрации;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priorities.sla_hours &gt; 0, equipment_types.normative_mttr_hours &gt; 0;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length(trim(title)) &gt;= 5 — содержательное наименование заявки.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Ниже приведены ключевые фрагменты DDL-скрипта.</w:t>
      </w:r>
    </w:p>
    <w:p>
      <w:pPr>
        <w:spacing w:lineRule="auto" w:line="276" w:before="80" w:after="160"/>
        <w:ind w:firstLine="0"/>
        <w:jc w:val="left"/>
      </w:pPr>
      <w:r>
        <w:rPr>
          <w:rFonts w:ascii="Courier New" w:hAnsi="Courier New" w:cs="Courier New"/>
          <w:sz w:val="22"/>
        </w:rPr>
        <w:t>CREATE TABLE maintenance_requests (</w:t>
        <w:br/>
        <w:t xml:space="preserve">    id              INTEGER PRIMARY KEY AUTOINCREMENT,</w:t>
        <w:br/>
        <w:t xml:space="preserve">    equipment_id    INTEGER NOT NULL,</w:t>
        <w:br/>
        <w:t xml:space="preserve">    priority_id     INTEGER NOT NULL,</w:t>
        <w:br/>
        <w:t xml:space="preserve">    status_id       INTEGER NOT NULL,</w:t>
        <w:br/>
        <w:t xml:space="preserve">    title           TEXT    NOT NULL CHECK (length(trim(title)) &gt;= 5),</w:t>
        <w:br/>
        <w:t xml:space="preserve">    description     TEXT,</w:t>
        <w:br/>
        <w:t xml:space="preserve">    planned_date    DATE,</w:t>
        <w:br/>
        <w:t xml:space="preserve">    assigned_to     INTEGER,</w:t>
        <w:br/>
        <w:t xml:space="preserve">    created_by      INTEGER NOT NULL,</w:t>
        <w:br/>
        <w:t xml:space="preserve">    created_at      TIMESTAMP NOT NULL DEFAULT CURRENT_TIMESTAMP,</w:t>
        <w:br/>
        <w:t xml:space="preserve">    started_at      TIMESTAMP,</w:t>
        <w:br/>
        <w:t xml:space="preserve">    closed_at       TIMESTAMP,</w:t>
        <w:br/>
        <w:t xml:space="preserve">    completion_note TEXT,</w:t>
        <w:br/>
        <w:t xml:space="preserve">    CHECK (closed_at IS NULL OR closed_at &gt;= created_at),</w:t>
        <w:br/>
        <w:t xml:space="preserve">    FOREIGN KEY (equipment_id) REFERENCES equipment        (id),</w:t>
        <w:br/>
        <w:t xml:space="preserve">    FOREIGN KEY (priority_id)  REFERENCES priorities       (id),</w:t>
        <w:br/>
        <w:t xml:space="preserve">    FOREIGN KEY (status_id)    REFERENCES request_statuses (id),</w:t>
        <w:br/>
        <w:t xml:space="preserve">    FOREIGN KEY (assigned_to)  REFERENCES staff            (id) ON DELETE SET NULL,</w:t>
        <w:br/>
        <w:t xml:space="preserve">    FOREIGN KEY (created_by)   REFERENCES staff            (id)</w:t>
        <w:br/>
        <w:t>);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Триггер trg_request_status_audit автоматически фиксирует каждое изменение статуса заявки в журнале request_status_history, что создаёт неизменяемый аудит-след для последующих разбирательств. Триггер trg_parts_no_overdraft выполняет резервную защиту от ухода остатка на складе в отрицательную область — даже при ошибке прикладного слоя СУБД отклонит соответствующий UPDATE.</w:t>
      </w:r>
    </w:p>
    <w:p>
      <w:pPr>
        <w:spacing w:lineRule="auto" w:line="276" w:before="80" w:after="160"/>
        <w:ind w:firstLine="0"/>
        <w:jc w:val="left"/>
      </w:pPr>
      <w:r>
        <w:rPr>
          <w:rFonts w:ascii="Courier New" w:hAnsi="Courier New" w:cs="Courier New"/>
          <w:sz w:val="22"/>
        </w:rPr>
        <w:t>CREATE TRIGGER trg_request_status_audit</w:t>
        <w:br/>
        <w:t>AFTER UPDATE OF status_id ON maintenance_requests</w:t>
        <w:br/>
        <w:t>FOR EACH ROW</w:t>
        <w:br/>
        <w:t>WHEN OLD.status_id != NEW.status_id</w:t>
        <w:br/>
        <w:t>BEGIN</w:t>
        <w:br/>
        <w:t xml:space="preserve">    INSERT INTO request_status_history</w:t>
        <w:br/>
        <w:t xml:space="preserve">        (request_id, old_status_id, new_status_id, changed_by, note)</w:t>
        <w:br/>
        <w:t xml:space="preserve">    VALUES (</w:t>
        <w:br/>
        <w:t xml:space="preserve">        NEW.id, OLD.status_id, NEW.status_id,</w:t>
        <w:br/>
        <w:t xml:space="preserve">        COALESCE(NEW.assigned_to, NEW.created_by),</w:t>
        <w:br/>
        <w:t xml:space="preserve">        'Автоматическая регистрация смены статуса'</w:t>
        <w:br/>
        <w:t xml:space="preserve">    );</w:t>
        <w:br/>
        <w:t>END;</w:t>
        <w:br/>
        <w:br/>
        <w:t>CREATE TRIGGER trg_parts_no_overdraft</w:t>
        <w:br/>
        <w:t>BEFORE UPDATE OF quantity ON spare_parts</w:t>
        <w:br/>
        <w:t>FOR EACH ROW</w:t>
        <w:br/>
        <w:t>WHEN NEW.quantity &lt; 0</w:t>
        <w:br/>
        <w:t>BEGIN</w:t>
        <w:br/>
        <w:t xml:space="preserve">    SELECT RAISE(ABORT, 'Невозможно списать больше, чем имеется на складе');</w:t>
        <w:br/>
        <w:t>END;</w:t>
      </w:r>
    </w:p>
    <w:p>
      <w:pPr>
        <w:spacing w:lineRule="auto" w:line="360" w:before="160" w:after="1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333333"/>
          <w:sz w:val="28"/>
        </w:rPr>
        <w:t>{Скриншот: Результат успешного выполнения DDL-скрипта в DB Browser for SQLite — список из 11 таблиц с количеством записей}</w:t>
      </w: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1.2 — Структура базы данных после развёртывания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1.8. Выводы по разделу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первом разделе автором выделены одиннадцать сущностей предметной области; последовательно проведена нормализация модели до третьей нормальной формы с обоснованием каждого шага декомпозиции; разработан DDL-скрипт развёртывания в SQLite, включающий ограничения целостности (CHECK-проверки корректности дат и неотрицательности остатков) и два триггера бизнес-логики — автоматический аудит смен статусов и защита от отрицательного остатка на складе.</w:t>
      </w:r>
    </w:p>
    <w:p>
      <w:r>
        <w:br w:type="page"/>
      </w:r>
    </w:p>
    <w:p>
      <w:pPr>
        <w:spacing w:lineRule="auto" w:line="360" w:before="0" w:after="36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2. ПРОГРАММНАЯ РЕАЛИЗАЦИЯ СЕРВЕРНОЙ ЧАСТИ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2.1. Обоснование выбора инструментальных средств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реализации серверной части автором выбран язык программирования Python версии 3.10+ и фреймворк FastAPI 0.115. Выбор обусловлен совокупностью факторов: высокой производительностью на основе ASGI-сервера Uvicorn; автоматической генерацией интерактивной OpenAPI-документации; декларативным механизмом валидации входных данных Pydantic 2.x; широким распространением стека в учебной и промышленной разработке. В качестве СУБД использована встроенная база данных SQLite, обращение к которой выполняется через стандартный модуль sqlite3 без использования ORM — такое решение обеспечивает прозрачное понимание выполняющихся SQL-запросов, что особенно ценно при анализе корректности нормализации.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2.2. Архитектура серверного приложения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Серверная часть организована по слоистой архитектуре. На нижнем уровне находится модуль database.py, отвечающий за создание подключения к SQLite, выполнение PRAGMA-настроек и применение схемы. Над ним расположен слой бизнес-логики, реализованный в виде четырёх роутеров FastAPI: reference_router (справочники), equipment_router (оборудование и фильтр критических неисправностей), parts_router (склад запчастей с корректировкой остатков) и requests_router (CRUD-операции над заявками и ключевой алгоритм закрытия). Главный модуль main.py объединяет роутеры в единое приложение и подключает статические файлы клиентской части по адресу /static.</w:t>
      </w:r>
    </w:p>
    <w:p>
      <w:pPr>
        <w:spacing w:lineRule="auto" w:line="360" w:before="160" w:after="1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333333"/>
          <w:sz w:val="28"/>
        </w:rPr>
        <w:t>{Скриншот: Структура каталогов проекта maintenance_requests с подсветкой backend/, frontend/, scripts/}</w:t>
      </w: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2.1 — Структура каталогов проекта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2.3. CRUD-эндпоинты для заявок и оборудования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системе реализованы следующие REST-эндпоинты: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18"/>
            <w:vAlign w:val="center"/>
          </w:tcPr>
          <w:p>
            <w:pPr>
              <w:spacing w:lineRule="auto" w:line="276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Маршрут</w:t>
            </w:r>
          </w:p>
        </w:tc>
        <w:tc>
          <w:tcPr>
            <w:tcW w:type="dxa" w:w="1417"/>
            <w:vAlign w:val="center"/>
          </w:tcPr>
          <w:p>
            <w:pPr>
              <w:spacing w:lineRule="auto" w:line="276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Метод</w:t>
            </w:r>
          </w:p>
        </w:tc>
        <w:tc>
          <w:tcPr>
            <w:tcW w:type="dxa" w:w="4535"/>
            <w:vAlign w:val="center"/>
          </w:tcPr>
          <w:p>
            <w:pPr>
              <w:spacing w:lineRule="auto" w:line="276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/api/requests</w:t>
            </w:r>
          </w:p>
        </w:tc>
        <w:tc>
          <w:tcPr>
            <w:tcW w:type="dxa" w:w="141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GET</w:t>
            </w:r>
          </w:p>
        </w:tc>
        <w:tc>
          <w:tcPr>
            <w:tcW w:type="dxa" w:w="45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Список заявок с фильтрами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/api/requests</w:t>
            </w:r>
          </w:p>
        </w:tc>
        <w:tc>
          <w:tcPr>
            <w:tcW w:type="dxa" w:w="141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POST</w:t>
            </w:r>
          </w:p>
        </w:tc>
        <w:tc>
          <w:tcPr>
            <w:tcW w:type="dxa" w:w="45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Регистрация новой заявки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/api/requests/{id}</w:t>
            </w:r>
          </w:p>
        </w:tc>
        <w:tc>
          <w:tcPr>
            <w:tcW w:type="dxa" w:w="141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GET, PUT, DELETE</w:t>
            </w:r>
          </w:p>
        </w:tc>
        <w:tc>
          <w:tcPr>
            <w:tcW w:type="dxa" w:w="45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Карточка заявки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/api/requests/{id}/assign</w:t>
            </w:r>
          </w:p>
        </w:tc>
        <w:tc>
          <w:tcPr>
            <w:tcW w:type="dxa" w:w="141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POST</w:t>
            </w:r>
          </w:p>
        </w:tc>
        <w:tc>
          <w:tcPr>
            <w:tcW w:type="dxa" w:w="45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Назначение исполнителя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/api/requests/{id}/status</w:t>
            </w:r>
          </w:p>
        </w:tc>
        <w:tc>
          <w:tcPr>
            <w:tcW w:type="dxa" w:w="141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POST</w:t>
            </w:r>
          </w:p>
        </w:tc>
        <w:tc>
          <w:tcPr>
            <w:tcW w:type="dxa" w:w="45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Смена статуса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/api/requests/{id}/complete</w:t>
            </w:r>
          </w:p>
        </w:tc>
        <w:tc>
          <w:tcPr>
            <w:tcW w:type="dxa" w:w="141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POST</w:t>
            </w:r>
          </w:p>
        </w:tc>
        <w:tc>
          <w:tcPr>
            <w:tcW w:type="dxa" w:w="45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Закрытие со списанием запчастей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/api/requests/{id}/history</w:t>
            </w:r>
          </w:p>
        </w:tc>
        <w:tc>
          <w:tcPr>
            <w:tcW w:type="dxa" w:w="141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GET</w:t>
            </w:r>
          </w:p>
        </w:tc>
        <w:tc>
          <w:tcPr>
            <w:tcW w:type="dxa" w:w="45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Журнал смен статусов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/api/equipment</w:t>
            </w:r>
          </w:p>
        </w:tc>
        <w:tc>
          <w:tcPr>
            <w:tcW w:type="dxa" w:w="141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GET</w:t>
            </w:r>
          </w:p>
        </w:tc>
        <w:tc>
          <w:tcPr>
            <w:tcW w:type="dxa" w:w="45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Каталог оборудования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/api/equipment/critical</w:t>
            </w:r>
          </w:p>
        </w:tc>
        <w:tc>
          <w:tcPr>
            <w:tcW w:type="dxa" w:w="141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GET</w:t>
            </w:r>
          </w:p>
        </w:tc>
        <w:tc>
          <w:tcPr>
            <w:tcW w:type="dxa" w:w="45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Оборудование с открытыми критическими заявками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/api/parts</w:t>
            </w:r>
          </w:p>
        </w:tc>
        <w:tc>
          <w:tcPr>
            <w:tcW w:type="dxa" w:w="141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GET, POST</w:t>
            </w:r>
          </w:p>
        </w:tc>
        <w:tc>
          <w:tcPr>
            <w:tcW w:type="dxa" w:w="45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Склад запчастей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/api/parts/{id}/adjust</w:t>
            </w:r>
          </w:p>
        </w:tc>
        <w:tc>
          <w:tcPr>
            <w:tcW w:type="dxa" w:w="141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POST</w:t>
            </w:r>
          </w:p>
        </w:tc>
        <w:tc>
          <w:tcPr>
            <w:tcW w:type="dxa" w:w="45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Корректировка остатка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/api/priorities, /statuses, /staff</w:t>
            </w:r>
          </w:p>
        </w:tc>
        <w:tc>
          <w:tcPr>
            <w:tcW w:type="dxa" w:w="141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GET</w:t>
            </w:r>
          </w:p>
        </w:tc>
        <w:tc>
          <w:tcPr>
            <w:tcW w:type="dxa" w:w="45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Справочники</w:t>
            </w:r>
          </w:p>
        </w:tc>
      </w:tr>
    </w:tbl>
    <w:p>
      <w:pPr>
        <w:spacing w:lineRule="auto" w:line="360" w:before="0" w:after="120"/>
        <w:ind w:firstLine="0"/>
        <w:jc w:val="both"/>
      </w:pP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2.1 — Перечень REST-эндпоинтов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Фильтрация заявок поддерживается тремя независимыми параметрами строки запроса: priority (код приоритета), status (код статуса), assigned_to (идентификатор исполнителя). Опциональный флаг open_only=true сокращает выборку до незакрытых заявок и используется на канбан-доске. Эндпоинт /api/equipment/critical отдельно выделяет оборудование, по которому имеются открытые заявки с приоритетом «Критический» — это основа для блока тревожных карточек на главном экране диспетчера.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2.4. Алгоритм закрытия заявки со списанием запчастей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Ключевым бизнес-алгоритмом серверной части является процедура перевода заявки в статус «Выполнена» с одновременным списанием использованных запчастей со склада. Алгоритм реализован в эндпоинте POST /api/requests/{id}/complete и состоит из следующих последовательных шагов.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Извлечение заявки по идентификатору с JOIN на request_statuses; при отсутствии — возврат HTTP 404. Если статус заявки уже закрытый (is_closed = 1) — возврат HTTP 400 «Заявка уже закрыта».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Загрузка актуальных данных для каждой затребованной запчасти из таблицы spare_parts (артикул, наименование, текущий остаток, текущая цена).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Проверка достаточности остатка по КАЖДОЙ позиции технологической карты. Если хотя бы одной детали не хватает — немедленный отказ HTTP 400 с указанием конкретной запчасти, требуемого количества и фактического остатка. Принципиально, что отказ происходит ДО внесения каких-либо изменений в базу — это гарантирует, что заявка не останется в полусписанном состоянии.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Если все проверки пройдены, для каждой запчасти выполняются две атомарные операции: вставка строки в request_parts с фиксацией исторической цены unit_price_at_use; уменьшение текущего остатка spare_parts.quantity на соответствующее количество.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Перевод заявки в статус 'done', установка closed_at = CURRENT_TIMESTAMP и сохранение комментария мастера в поле completion_note.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Триггер БД trg_request_status_audit автоматически фиксирует смену статуса в request_status_history без явного участия прикладного слоя.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Возврат клиенту обновлённой заявки в формате JSON, содержащей полный список списанных запчастей с их историческими ценами и итоговой стоимостью ремонта.</w:t>
      </w:r>
    </w:p>
    <w:p>
      <w:pPr>
        <w:spacing w:lineRule="auto" w:line="360" w:before="160" w:after="1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333333"/>
          <w:sz w:val="28"/>
        </w:rPr>
        <w:t>{Скриншот: Модальное окно карточки заявки в веб-приложении с формой закрытия: выбор запчастей, количество, комментарий мастера и кнопка «Закрыть заявку»}</w:t>
      </w: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2.2 — Интерфейс закрытия заявки</w:t>
      </w:r>
    </w:p>
    <w:p>
      <w:pPr>
        <w:spacing w:lineRule="auto" w:line="276" w:before="80" w:after="160"/>
        <w:ind w:firstLine="0"/>
        <w:jc w:val="left"/>
      </w:pPr>
      <w:r>
        <w:rPr>
          <w:rFonts w:ascii="Courier New" w:hAnsi="Courier New" w:cs="Courier New"/>
          <w:sz w:val="22"/>
        </w:rPr>
        <w:t># Фрагмент: проверка ДО списания</w:t>
        <w:br/>
        <w:t>for line in parts_used:</w:t>
        <w:br/>
        <w:t xml:space="preserve">    cur.execute('SELECT id, sku, name, quantity FROM spare_parts WHERE id = ?',</w:t>
        <w:br/>
        <w:t xml:space="preserve">                (line.part_id,))</w:t>
        <w:br/>
        <w:t xml:space="preserve">    sp = cur.fetchone()</w:t>
        <w:br/>
        <w:t xml:space="preserve">    if sp is None:</w:t>
        <w:br/>
        <w:t xml:space="preserve">        raise HTTPException(400, f'Запчасть #{line.part_id} не найдена')</w:t>
        <w:br/>
        <w:t xml:space="preserve">    if sp['quantity'] &lt; line.quantity:</w:t>
        <w:br/>
        <w:t xml:space="preserve">        raise HTTPException(400,</w:t>
        <w:br/>
        <w:t xml:space="preserve">            f'Недостаточно «{sp["name"]}» ({sp["sku"]}): '</w:t>
        <w:br/>
        <w:t xml:space="preserve">            f'требуется {line.quantity}, доступно {sp["quantity"]}')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2.5. Транзакционная целостность операций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Все шаги алгоритма закрытия выполняются в рамках единого транзакционного контекста, организованного контекстным менеджером db_cursor(commit=True). При возникновении любого исключения внутри блока контекстный менеджер автоматически откатывает все произведённые изменения командой rollback(). Это гарантирует, что в базе данных не остаётся «полу-закрытых» заявок (запчасть списана, но статус заявки не обновился) или «полу-списаний» (одна позиция уменьшена, другая нет). При успешном завершении выполняется единый commit().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Дополнительная защита целостности обеспечивается на уровне СУБД триггером trg_parts_no_overdraft, который отклоняет любой UPDATE, приводящий к отрицательному остатку детали. Это типовой шаблон защиты «глубже прикладного слоя»: даже при ручной модификации базы данных через консольный клиент или ошибке в коде нового модуля, не учитывающего проверку остатка, СУБД сама заблокирует операцию.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2.6. Выводы по разделу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Во втором разделе автором обоснован выбор стека Python — FastAPI — SQLite; реализована слоистая архитектура серверной части с четырьмя роутерами; разработан ключевой бизнес-алгоритм закрытия заявки с атомарной проверкой и списанием всех запчастей в единой транзакции; реализована двухуровневая защита целостности данных (прикладной слой + триггеры СУБД).</w:t>
      </w:r>
    </w:p>
    <w:p>
      <w:r>
        <w:br w:type="page"/>
      </w:r>
    </w:p>
    <w:p>
      <w:pPr>
        <w:spacing w:lineRule="auto" w:line="360" w:before="0" w:after="36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3. ПРОГРАММНАЯ РЕАЛИЗАЦИЯ КЛИЕНТСКОЙ ЧАСТИ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3.1. UX/UI-концепция «Enterprise Dashboard»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Визуальное оформление интерфейса диспетчера построено в концепции «Enterprise Dashboard» — современный корпоративный стиль с контрастной тёмно-индиго боковой панелью, светлым контентом и продуманной системой цветовой маркировки. Доминирующий цвет — индиго #3B82F6 — символизирует стабильность и доверие; критические заявки и неисправности выделяются мягким пастельно-красным фоном #FEE2E2 с акцентным #B91C1C, средний приоритет — пастельно-жёлтым #FEF3C7 с #92400E, низкий — пастельно-зелёным #D1FAE5 с #065F46. Использование пастельных фонов вместо насыщенных позволяет одновременно сохранять читабельность текста и обеспечивать мгновенное визуальное распознавание уровня срочности.</w:t>
      </w:r>
    </w:p>
    <w:p>
      <w:pPr>
        <w:spacing w:lineRule="auto" w:line="360" w:before="160" w:after="1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333333"/>
          <w:sz w:val="28"/>
        </w:rPr>
        <w:t>{Скриншот: Палитра «Enterprise Dashboard» с примерами оформления приоритетов: пастельно-красный фон для критических, жёлтый для средних, зелёный для низких}</w:t>
      </w: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3.1 — Цветовая палитра приоритетов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Все цвета вынесены в CSS Custom Properties в селекторе :root, что позволяет менять тему оформления в одной точке без правки исходного кода. Скругления элементов составляют 6–8 пикселей, что соответствует общепринятой практике корпоративных интерфейсов и сохраняет деловой характер дизайна. Все интерактивные элементы (кнопки, карточки) имеют плавные hover-эффекты с лёгким поднятием translateY(-2px) и усилением тени.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3.2. Структура интерфейса диспетчера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Интерфейс диспетчера реализован как одностраничное приложение (SPA) с фиксированной боковой панелью и пятью основными разделами: «Dashboard» с KPI открытых заявок, карточками критических неисправностей и блоком запчастей ниже минимума; «Канбан-доска» — четырёхколоночное представление открытых заявок по статусам; «Журнал заявок» — табличное представление с расширенными фильтрами и цветовой маркировкой строк; «Оборудование» — каталог с подсветкой единиц, имеющих критические заявки; «Склад запчастей» — таблица с подсветкой позиций ниже минимального остатка.</w:t>
      </w:r>
    </w:p>
    <w:p>
      <w:pPr>
        <w:spacing w:lineRule="auto" w:line="360" w:before="160" w:after="1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333333"/>
          <w:sz w:val="28"/>
        </w:rPr>
        <w:t>{Скриншот: Канбан-доска заявок в четыре колонки (Получена, В работе, На проверке, Выполнена) с карточками заявок, имеющих цветную полосу слева в зависимости от приоритета}</w:t>
      </w: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3.2 — Канбан-доска заявок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3.3. Цветовая маркировка приоритетов в таблице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разделе «Журнал заявок» каждая строка таблицы получает цветовую заливку и левую вертикальную полосу-индикатор в зависимости от приоритета. Реализация выполнена средствами CSS — JavaScript только добавляет к элементу tr класс row--critical, row--medium или row--low. CSS-правила сохраняют пастельный фон и насыщенный цвет полосы, что сохраняет читаемость текста, не перегружая интерфейс. Для закрытых заявок применяется класс row--closed с приглушённой прозрачностью 0.55 — это визуально отделяет историческое от актуального.</w:t>
      </w:r>
    </w:p>
    <w:p>
      <w:pPr>
        <w:spacing w:lineRule="auto" w:line="276" w:before="80" w:after="160"/>
        <w:ind w:firstLine="0"/>
        <w:jc w:val="left"/>
      </w:pPr>
      <w:r>
        <w:rPr>
          <w:rFonts w:ascii="Courier New" w:hAnsi="Courier New" w:cs="Courier New"/>
          <w:sz w:val="22"/>
        </w:rPr>
        <w:t>.data-table--rich tbody tr {</w:t>
        <w:br/>
        <w:t xml:space="preserve">    transition: background .15s;</w:t>
        <w:br/>
        <w:t xml:space="preserve">    border-left: 4px solid transparent;</w:t>
        <w:br/>
        <w:t>}</w:t>
        <w:br/>
        <w:t>.data-table--rich tbody tr.row--critical {</w:t>
        <w:br/>
        <w:t xml:space="preserve">    background: var(--p-critical-bg);</w:t>
        <w:br/>
        <w:t xml:space="preserve">    border-left-color: var(--danger);</w:t>
        <w:br/>
        <w:t>}</w:t>
        <w:br/>
        <w:t>.data-table--rich tbody tr.row--medium {</w:t>
        <w:br/>
        <w:t xml:space="preserve">    background: var(--p-medium-bg);</w:t>
        <w:br/>
        <w:t xml:space="preserve">    border-left-color: var(--warn);</w:t>
        <w:br/>
        <w:t>}</w:t>
        <w:br/>
        <w:t>.data-table--rich tbody tr.row--low {</w:t>
        <w:br/>
        <w:t xml:space="preserve">    background: var(--p-low-bg);</w:t>
        <w:br/>
        <w:t xml:space="preserve">    border-left-color: var(--success);</w:t>
        <w:br/>
        <w:t>}</w:t>
      </w:r>
    </w:p>
    <w:p>
      <w:pPr>
        <w:spacing w:lineRule="auto" w:line="360" w:before="160" w:after="1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333333"/>
          <w:sz w:val="28"/>
        </w:rPr>
        <w:t>{Скриншот: Журнал заявок с цветовой маркировкой строк: критическая заявка с красной заливкой, средняя с жёлтой, низкая с зелёной, закрытые с серой}</w:t>
      </w: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3.3 — Цветовая маркировка приоритетов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3.4. Канбан-доска заявок на CSS Grid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Канбан-доска реализована средствами CSS Grid Layout с конфигурацией grid-template-columns: repeat(4, 1fr), что обеспечивает равное распределение четырёх колонок открытых статусов: «Получена», «В работе», «На проверке», «Выполнена». Каждая колонка имеет заголовок с цветной точкой-индикатором и счётчиком количества заявок, а тело колонки содержит список карточек заявок с левой цветной полосой по приоритету. Карточки кликабельны: при щелчке открывается модальное окно с полной информацией.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3.5. Назначение исполнителя «в один клик»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Назначение исполнителя выполнено принципиально без промежуточных модальных окон. В каждой строке таблицы «Журнал заявок» в колонке «Исполнитель» отображается выпадающий список &lt;select&gt; с перечнем активных техников и инженеров. Выбор сотрудника из списка немедленно инициирует POST-запрос /api/requests/{id}/assign и при успехе обновляет таблицу. Это даёт диспетчеру максимально быстрый рабочий процесс — назначение выполняется за один щелчок мыши без открытия карточек.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Дополнительно серверная логика выполняет «умное» поведение: если на момент назначения заявка была в статусе «Получена», она автоматически переводится в статус «В работе» и фиксируется поле started_at — это соответствует реальной бизнес-логике предприятия (назначение исполнителя = начало работ).</w:t>
      </w:r>
    </w:p>
    <w:p>
      <w:pPr>
        <w:spacing w:lineRule="auto" w:line="360" w:before="160" w:after="1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333333"/>
          <w:sz w:val="28"/>
        </w:rPr>
        <w:t>{Скриншот: Журнал заявок с раскрытым выпадающим списком исполнителей в колонке «Исполнитель» — назначение в один клик без промежуточных модалок}</w:t>
      </w: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3.4 — Назначение исполнителя в один клик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3.6. Динамическое закрытие заявки и Fetch API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Модальное окно карточки заявки содержит интегрированную форму закрытия с динамическим добавлением строк запчастей: JavaScript-функция addRow() клонирует шаблон строки с выпадающим списком позиций склада и полем количества; пользователь может добавить произвольное число строк или удалить лишние. При отправке формы клиент собирает массив parts_used и выполняет POST-запрос на /api/requests/{id}/complete. При успешном ответе модальное окно закрывается, выполняется повторная загрузка справочников (включая обновлённые остатки на складе) и перерисовка всех видимых разделов. При ошибке (например, нехватка запчастей) клиент выводит сообщение от сервера во всплывающем уведомлении (toast) красного цвета.</w:t>
      </w:r>
    </w:p>
    <w:p>
      <w:pPr>
        <w:spacing w:lineRule="auto" w:line="276" w:before="80" w:after="160"/>
        <w:ind w:firstLine="0"/>
        <w:jc w:val="left"/>
      </w:pPr>
      <w:r>
        <w:rPr>
          <w:rFonts w:ascii="Courier New" w:hAnsi="Courier New" w:cs="Courier New"/>
          <w:sz w:val="22"/>
        </w:rPr>
        <w:t>completeForm.addEventListener('submit', async e =&gt; {</w:t>
        <w:br/>
        <w:t xml:space="preserve">    e.preventDefault();</w:t>
        <w:br/>
        <w:t xml:space="preserve">    const parts_used = Array.from(partsRows.querySelectorAll('div'))</w:t>
        <w:br/>
        <w:t xml:space="preserve">        .map(row =&gt; ({</w:t>
        <w:br/>
        <w:t xml:space="preserve">            part_id:  +row.querySelector('.part-sel').value,</w:t>
        <w:br/>
        <w:t xml:space="preserve">            quantity: +row.querySelector('.part-qty').value,</w:t>
        <w:br/>
        <w:t xml:space="preserve">        }));</w:t>
        <w:br/>
        <w:t xml:space="preserve">    try {</w:t>
        <w:br/>
        <w:t xml:space="preserve">        await apiPost(`/api/requests/${requestId}/complete`,</w:t>
        <w:br/>
        <w:t xml:space="preserve">                      { parts_used, completion_note });</w:t>
        <w:br/>
        <w:t xml:space="preserve">        toast('Заявка закрыта, запчасти списаны', 'success');</w:t>
        <w:br/>
        <w:t xml:space="preserve">        closeModal();</w:t>
        <w:br/>
        <w:t xml:space="preserve">        await preload();</w:t>
        <w:br/>
        <w:t xml:space="preserve">        renderRequests(); renderBoard(); renderDashboard();</w:t>
        <w:br/>
        <w:t xml:space="preserve">    } catch (err) { toast(err.message, 'error'); }</w:t>
        <w:br/>
        <w:t>});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3.7. Адаптивная вёрстка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Интерфейс адаптирован для отображения на устройствах с шириной экрана от 360 пикселей и выше. На устройствах планшетной ширины (@media max-width: 1100px) сетка KPI перестраивается из четырёхколоночной в двухколоночную, а канбан-доска — из четырёхколоночной в двухколоночную (колонки переносятся). На смартфонах (@media max-width: 768px) ширина боковой панели сжимается до 72 пикселей, оставляя только иконки пунктов меню; канбан становится одноколоночным; таблицы сохраняют горизонтальную прокрутку.</w:t>
      </w:r>
    </w:p>
    <w:p>
      <w:pPr>
        <w:spacing w:lineRule="auto" w:line="360" w:before="160" w:after="1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333333"/>
          <w:sz w:val="28"/>
        </w:rPr>
        <w:t>{Скриншот: Параллельный показ интерфейса в трёх разрешениях: десктоп (1920×1080), планшет (1024×768), смартфон (375×812) — на смартфоне sidebar сжимается, остаются только иконки}</w:t>
      </w: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3.5 — Адаптивность интерфейса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3.8. Выводы по разделу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третьем разделе автором разработан адаптивный интерфейс диспетчера/инженера в концепции «Enterprise Dashboard» на технологиях HTML5, CSS3 и Vanilla JavaScript с Fetch API. Реализованы пять основных разделов с боковым меню, цветовая маркировка приоритетов в таблице заявок, канбан-доска на CSS Grid, назначение исполнителя «в один клик» без модальных окон, динамическая форма закрытия заявки с произвольным числом запчастей и адаптивная вёрстка для устройств разных размеров.</w:t>
      </w:r>
    </w:p>
    <w:p>
      <w:r>
        <w:br w:type="page"/>
      </w:r>
    </w:p>
    <w:p>
      <w:pPr>
        <w:spacing w:lineRule="auto" w:line="360" w:before="0" w:after="36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4. ТЕСТИРОВАНИЕ РАЗРАБОТАННОЙ СИСТЕМЫ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4.1. Тестирование ключевого алгоритма закрытия заявки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Тестирование ключевого бизнес-алгоритма — закрытия заявки со списанием запчастей — выполнено по семи сценариям, охватывающим как позитивные, так и негативные ветви алгоритма. Результаты сведены в таблицу 4.1.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№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76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Сценарий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76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Ожидаемый результат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Результат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Закрытие открытой заявки с двумя запчастями (по 1 шт каждой)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200, статус → done, остатки уменьшены, аудит обновлён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Закрытие без запчастей (только смена статуса)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200, статус → done, остатки не меняются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Запрос больше, чем есть на складе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400 с указанием конкретной запчасти и доступного количества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Повторное закрытие уже закрытой заявки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400 'Заявка уже закрыта'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Закрытие несуществующей заявки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404 'Заявка не найдена'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Запрос на несуществующую запчасть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400 'Запчасть не найдена'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Триггер аудита фиксирует смену статуса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Появляется запись в request_status_history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</w:tbl>
    <w:p>
      <w:pPr>
        <w:spacing w:lineRule="auto" w:line="360" w:before="0" w:after="120"/>
        <w:ind w:firstLine="0"/>
        <w:jc w:val="both"/>
      </w:pP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4.1 — Тестирование алгоритма закрытия заявки</w:t>
      </w:r>
    </w:p>
    <w:p>
      <w:pPr>
        <w:spacing w:lineRule="auto" w:line="360" w:before="160" w:after="1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333333"/>
          <w:sz w:val="28"/>
        </w:rPr>
        <w:t>{Скриншот: Терминал с curl-запросами POST /api/requests/.../complete: успешное закрытие (200) и попытка списания при нехватке запчастей (400 с указанием детали)}</w:t>
      </w: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4.1 — Тестирование закрытия через curl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 Тестирование REST-API и фильтрации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Тестирование REST-эндпоинтов выполнено через интерактивную документацию Swagger UI. Покрыты следующие группы маршрутов: получение списка заявок с фильтрами по приоритету (?priority=critical), статусу (?status=in_work), исполнителю (?assigned_to=3); CRUD-операции над заявками (создание, редактирование, удаление); назначение исполнителя через /assign; смена статуса через /status; получение списка критических единиц оборудования через /api/equipment/critical; корректировка остатка детали через /api/parts/{id}/adjust. Все сценарии прошли успешно.</w:t>
      </w:r>
    </w:p>
    <w:p>
      <w:pPr>
        <w:spacing w:lineRule="auto" w:line="360" w:before="160" w:after="1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333333"/>
          <w:sz w:val="28"/>
        </w:rPr>
        <w:t>{Скриншот: Swagger UI с раскрытым эндпоинтом GET /api/requests и применёнными фильтрами по приоритету и статусу — ответ 200 с JSON-массивом отфильтрованных заявок}</w:t>
      </w: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4.2 — Тестирование фильтрации через Swagger UI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4.3. Тестирование пользовательского интерфейса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Тестирование пользовательского интерфейса выполнено в браузерах Google Chrome 120, Mozilla Firefox 122 и Apple Safari 17. Проверены следующие аспекты: корректность отображения Dashboard с KPI и блоком критических заявок; корректность построения канбан-доски с распределением карточек по колонкам; цветовая маркировка строк в журнале заявок; работа фильтров; назначение исполнителя «в один клик» прямо из строки таблицы; модальное окно карточки заявки с историей статусов; динамическая форма закрытия заявки; всплывающие уведомления при успехе и ошибках; адаптивная вёрстка на трёх типовых разрешениях. Все проверки пройдены успешно.</w:t>
      </w:r>
    </w:p>
    <w:p>
      <w:pPr>
        <w:spacing w:lineRule="auto" w:line="360" w:before="160" w:after="1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333333"/>
          <w:sz w:val="28"/>
        </w:rPr>
        <w:t>{Скриншот: Параллельный показ интерфейса в трёх типовых разрешениях экрана: 1920×1080 (десктоп), 1024×768 (планшет), 375×812 (смартфон)}</w:t>
      </w: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4.3 — Кроссустройственное тестирование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4.4. Выводы по разделу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четвёртом разделе автором проведено тестирование всех уровней системы: ключевого бизнес-алгоритма закрытия заявки (семь сценариев), REST-API с фильтрацией через Swagger UI и пользовательского интерфейса в трёх браузерах и на устройствах разных размеров. Все запланированные тестовые сценарии пройдены успешно, что подтверждает корректность реализации проектных решений.</w:t>
      </w:r>
    </w:p>
    <w:p>
      <w:r>
        <w:br w:type="page"/>
      </w:r>
    </w:p>
    <w:p>
      <w:pPr>
        <w:spacing w:lineRule="auto" w:line="360" w:before="0" w:after="28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ЗАКЛЮЧЕНИЕ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рамках выпускной квалификационной работы автором разработан полноценный программный комплекс для автоматизации деятельности технической службы предприятия, состоящий из спроектированной в третьей нормальной форме реляционной базы данных и клиент-серверного веб-приложения диспетчера. Все поставленные во введении задачи решены в полном объёме.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Основные результаты работы заключаются в следующем. Во-первых, проведён детальный анализ предметной области учёта заявок на ТО; выделены одиннадцать сущностей и последовательно проведена их нормализация до 3НФ с обоснованием каждого шага декомпозиции; разработан DDL-скрипт развёртывания в SQLite с CHECK-валидацией (дата закрытия не может быть раньше создания, остаток запчастей не может быть отрицательным) и двумя триггерами бизнес-логики. Во-вторых, реализована серверная часть на FastAPI с четырьмя роутерами и полным набором REST-эндпоинтов, включая фильтрацию заявок по приоритету и исполнителю. В-третьих, реализован ключевой бизнес-алгоритм закрытия заявки с атомарной проверкой достаточности запчастей до начала списания, транзакционной целостностью операций и автоматическим обновлением остатков склада. В-четвёртых, разработан адаптивный интерфейс диспетчера в концепции «Enterprise Dashboard» с боковой панелью, цветовой маркировкой приоритетов, канбан-доской на CSS Grid и назначением исполнителя «в один клик».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Практическая значимость работы состоит в том, что разработанная система может быть внедрена в действующем производственном, транспортном или складском предприятии без значительных доработок и без затрат на коммерческое программное обеспечение. Дальнейшим направлением развития системы автор видит интеграцию с системой автоматического оповещения исполнителей через SMS- и email-каналы, построение модуля плановой статистики по среднему времени ремонта (MTTR) и среднему времени наработки на отказ (MTBF) по каждой единице оборудования, а также разработку мобильного приложения для технического персонала.</w:t>
      </w:r>
    </w:p>
    <w:p>
      <w:r>
        <w:br w:type="page"/>
      </w:r>
    </w:p>
    <w:p>
      <w:pPr>
        <w:spacing w:lineRule="auto" w:line="360" w:before="0" w:after="28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СПИСОК ИСПОЛЬЗОВАННЫХ ИСТОЧНИКОВ</w:t>
      </w:r>
    </w:p>
    <w:p>
      <w:pPr>
        <w:spacing w:lineRule="auto" w:line="360" w:before="0" w:after="8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Дейт К.Дж. Введение в системы баз данных, 8-е изд. — М.: Вильямс, 2017. — 1328 с.</w:t>
      </w:r>
    </w:p>
    <w:p>
      <w:pPr>
        <w:spacing w:lineRule="auto" w:line="360" w:before="0" w:after="8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Кодд Э.Ф. Реляционная модель данных для больших разделяемых банков данных. — Communications of the ACM, 1970. — Vol. 13, No. 6. — pp. 377—387.</w:t>
      </w:r>
    </w:p>
    <w:p>
      <w:pPr>
        <w:spacing w:lineRule="auto" w:line="360" w:before="0" w:after="8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Гарсиа-Молина Г., Ульман Дж., Уидом Дж. Системы баз данных. Полный курс. — М.: Вильямс, 2003. — 1088 с.</w:t>
      </w:r>
    </w:p>
    <w:p>
      <w:pPr>
        <w:spacing w:lineRule="auto" w:line="360" w:before="0" w:after="8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Кузнецов С.Д. Основы баз данных. — М.: Интернет-университет информационных технологий: БИНОМ. Лаборатория знаний, 2007. — 484 с.</w:t>
      </w:r>
    </w:p>
    <w:p>
      <w:pPr>
        <w:spacing w:lineRule="auto" w:line="360" w:before="0" w:after="8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Дакетт Дж. HTML и CSS. Разработка и дизайн веб-сайтов. — М.: Эксмо, 2017. — 480 с.</w:t>
      </w:r>
    </w:p>
    <w:p>
      <w:pPr>
        <w:spacing w:lineRule="auto" w:line="360" w:before="0" w:after="8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ГОСТ 2.105-95. Единая система конструкторской документации. Общие требования к текстовым документам. — Бишкек: Кыргызстандарт, 1995. — 30 с.</w:t>
      </w:r>
    </w:p>
    <w:p>
      <w:pPr>
        <w:spacing w:lineRule="auto" w:line="360" w:before="0" w:after="8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ГОСТ 18322-2016. Система технического обслуживания и ремонта техники. Термины и определения. — М.: Стандартинформ, 2017. — 18 с.</w:t>
      </w:r>
    </w:p>
    <w:p>
      <w:pPr>
        <w:spacing w:lineRule="auto" w:line="360" w:before="0" w:after="8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Официальная документация фреймворка FastAPI. — URL: https://fastapi.tiangolo.com</w:t>
      </w:r>
    </w:p>
    <w:p>
      <w:pPr>
        <w:spacing w:lineRule="auto" w:line="360" w:before="0" w:after="8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Официальная документация СУБД SQLite. — URL: https://www.sqlite.org/docs.html</w:t>
      </w:r>
    </w:p>
    <w:p>
      <w:pPr>
        <w:spacing w:lineRule="auto" w:line="360" w:before="0" w:after="8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Pydantic V2 documentation. — URL: https://docs.pydantic.dev/2.x/</w:t>
      </w:r>
    </w:p>
    <w:p>
      <w:pPr>
        <w:spacing w:lineRule="auto" w:line="360" w:before="0" w:after="8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11. Спецификация HTML Living Standard, WHATWG. — URL: https://html.spec.whatwg.org</w:t>
      </w:r>
    </w:p>
    <w:p>
      <w:pPr>
        <w:spacing w:lineRule="auto" w:line="360" w:before="0" w:after="8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12. Спецификация CSS Grid Layout Module Level 1, W3C. — URL: https://www.w3.org/TR/css-grid-1/</w:t>
      </w:r>
    </w:p>
    <w:p>
      <w:pPr>
        <w:spacing w:lineRule="auto" w:line="360" w:before="0" w:after="8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13. MDN Web Docs: Using the Fetch API. — URL: https://developer.mozilla.org/ru/docs/Web/API/Fetch_API/Using_Fetch</w:t>
      </w:r>
    </w:p>
    <w:p>
      <w:pPr>
        <w:spacing w:lineRule="auto" w:line="360" w:before="0" w:after="8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14. OpenAPI Specification 3.1. — URL: https://spec.openapis.org/oas/v3.1.0</w:t>
      </w:r>
    </w:p>
    <w:p>
      <w:pPr>
        <w:spacing w:lineRule="auto" w:line="360" w:before="0" w:after="8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15. ГОСТ Р 7.0.97-2016. Система стандартов по информации, библиотечному и издательскому делу. Организационно-распорядительная документация. — М.: Стандартинформ, 2017.</w:t>
      </w:r>
    </w:p>
    <w:sectPr w:rsidR="00FC693F" w:rsidRPr="0006063C" w:rsidSect="00034616">
      <w:pgSz w:w="12240" w:h="15840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