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JobStrike UAE</w:t>
      </w:r>
    </w:p>
    <w:p>
      <w:pPr>
        <w:jc w:val="center"/>
      </w:pPr>
      <w:r>
        <w:rPr>
          <w:i/>
          <w:sz w:val="32"/>
        </w:rPr>
        <w:t>Partner Investment Summary</w:t>
      </w:r>
    </w:p>
    <w:p>
      <w:pPr>
        <w:jc w:val="center"/>
      </w:pPr>
      <w:r>
        <w:rPr>
          <w:color w:val="808080"/>
          <w:sz w:val="20"/>
        </w:rPr>
        <w:t>Confidential — April 2026</w:t>
      </w:r>
    </w:p>
    <w:p/>
    <w:p>
      <w:pPr>
        <w:pStyle w:val="Heading1"/>
      </w:pPr>
      <w:r>
        <w:t>The Opportunity</w:t>
      </w:r>
    </w:p>
    <w:p>
      <w:r>
        <w:t>JobStrike UAE is a subscription-based job alert and career intelligence platform built exclusively for mid-career expats in the UAE. We notify users the moment a job is posted, score their CV against it using AI, and track which companies respond — and which ghost. We launch on May 1, 2026.</w:t>
      </w:r>
    </w:p>
    <w:p>
      <w:r>
        <w:rPr>
          <w:b/>
        </w:rPr>
        <w:t xml:space="preserve">What makes it different: </w:t>
      </w:r>
      <w:r>
        <w:t>UAE-only focus. Real-time alerts (not next-day emails). AI fit scoring with reasoning (not raw numbers). A proprietary ghosting database that no competitor can replicate without 6 months of their own user data. And weekly live access to a UAE HR insider — our founder.</w:t>
      </w:r>
    </w:p>
    <w:p>
      <w:pPr>
        <w:pStyle w:val="Heading1"/>
      </w:pPr>
      <w:r>
        <w:t>The Market (Real Numbers, Not Estimates)</w:t>
      </w:r>
    </w:p>
    <w:p>
      <w:r>
        <w:t>We have already validated the UAE employer landscape using Apollo.io's paid database (April 10, 2026):</w:t>
      </w:r>
    </w:p>
    <w:p>
      <w:pPr>
        <w:pStyle w:val="ListBullet"/>
      </w:pPr>
      <w:r>
        <w:t>163,016 UAE companies across our 5 target sectors (Tech, Finance, Real Estate, Hospitality, Healthcare)</w:t>
      </w:r>
    </w:p>
    <w:p>
      <w:pPr>
        <w:pStyle w:val="ListBullet"/>
      </w:pPr>
      <w:r>
        <w:t>989 companies verified as currently, actively hiring in the UAE right now</w:t>
      </w:r>
    </w:p>
    <w:p>
      <w:pPr>
        <w:pStyle w:val="ListBullet"/>
      </w:pPr>
      <w:r>
        <w:t>68% of those 989 are growing headcount (12-month growth signal positive)</w:t>
      </w:r>
    </w:p>
    <w:p>
      <w:pPr>
        <w:pStyle w:val="ListBullet"/>
      </w:pPr>
      <w:r>
        <w:t>299 HR and Talent decision-makers identified at the top 100 target employers</w:t>
      </w:r>
    </w:p>
    <w:p>
      <w:pPr>
        <w:pStyle w:val="ListBullet"/>
      </w:pPr>
      <w:r>
        <w:t>5 direct competitors mapped with real employee counts and revenue figures</w:t>
      </w:r>
    </w:p>
    <w:p>
      <w:r>
        <w:t>The UAE has 8.8 million expats. Approximately 60,000–70,000 are mid-career professionals actively searching at any given time. Our Year 1 target is 3,000 paying users — just 4.5% of the addressable segment.</w:t>
      </w:r>
    </w:p>
    <w:p>
      <w:pPr>
        <w:pStyle w:val="Heading1"/>
      </w:pPr>
      <w:r>
        <w:t>The Investment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Founding Partner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Operating Partner (Founder)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Cash investment</w:t>
            </w:r>
          </w:p>
        </w:tc>
        <w:tc>
          <w:tcPr>
            <w:tcW w:type="dxa" w:w="3135"/>
          </w:tcPr>
          <w:p>
            <w:r>
              <w:t>AED 20,000</w:t>
            </w:r>
          </w:p>
        </w:tc>
        <w:tc>
          <w:tcPr>
            <w:tcW w:type="dxa" w:w="3135"/>
          </w:tcPr>
          <w:p>
            <w:r>
              <w:t>AED 10,000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Equity</w:t>
            </w:r>
          </w:p>
        </w:tc>
        <w:tc>
          <w:tcPr>
            <w:tcW w:type="dxa" w:w="3135"/>
          </w:tcPr>
          <w:p>
            <w:r>
              <w:t>50%</w:t>
            </w:r>
          </w:p>
        </w:tc>
        <w:tc>
          <w:tcPr>
            <w:tcW w:type="dxa" w:w="3135"/>
          </w:tcPr>
          <w:p>
            <w:r>
              <w:t>50%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Monthly stipend (first 6 months)</w:t>
            </w:r>
          </w:p>
        </w:tc>
        <w:tc>
          <w:tcPr>
            <w:tcW w:type="dxa" w:w="3135"/>
          </w:tcPr>
          <w:p>
            <w:r>
              <w:t>None (keeps current employment)</w:t>
            </w:r>
          </w:p>
        </w:tc>
        <w:tc>
          <w:tcPr>
            <w:tcW w:type="dxa" w:w="3135"/>
          </w:tcPr>
          <w:p>
            <w:r>
              <w:t>AED 3,000/month*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Primary role</w:t>
            </w:r>
          </w:p>
        </w:tc>
        <w:tc>
          <w:tcPr>
            <w:tcW w:type="dxa" w:w="3135"/>
          </w:tcPr>
          <w:p>
            <w:r>
              <w:t>Business development, employer network,</w:t>
              <w:br/>
              <w:t>hospitality sector introductions,</w:t>
              <w:br/>
              <w:t>Office Hours co-host</w:t>
            </w:r>
          </w:p>
        </w:tc>
        <w:tc>
          <w:tcPr>
            <w:tcW w:type="dxa" w:w="3135"/>
          </w:tcPr>
          <w:p>
            <w:r>
              <w:t>Product, engineering,</w:t>
              <w:br/>
              <w:t>marketing, operations,</w:t>
              <w:br/>
              <w:t>customer support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Time commitment</w:t>
            </w:r>
          </w:p>
        </w:tc>
        <w:tc>
          <w:tcPr>
            <w:tcW w:type="dxa" w:w="3135"/>
          </w:tcPr>
          <w:p>
            <w:r>
              <w:t>~15 hours/week (part-time)</w:t>
            </w:r>
          </w:p>
        </w:tc>
        <w:tc>
          <w:tcPr>
            <w:tcW w:type="dxa" w:w="3135"/>
          </w:tcPr>
          <w:p>
            <w:r>
              <w:t>Full-time (40-60 hours/week)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Vesting</w:t>
            </w:r>
          </w:p>
        </w:tc>
        <w:tc>
          <w:tcPr>
            <w:tcW w:type="dxa" w:w="3135"/>
          </w:tcPr>
          <w:p>
            <w:r>
              <w:t>4-year vest, 1-year cliff</w:t>
            </w:r>
          </w:p>
        </w:tc>
        <w:tc>
          <w:tcPr>
            <w:tcW w:type="dxa" w:w="3135"/>
          </w:tcPr>
          <w:p>
            <w:r>
              <w:t>4-year vest, 1-year cliff</w:t>
            </w:r>
          </w:p>
        </w:tc>
      </w:tr>
    </w:tbl>
    <w:p/>
    <w:p>
      <w:r>
        <w:rPr>
          <w:b/>
        </w:rPr>
        <w:t xml:space="preserve">*Founder stipend note: </w:t>
      </w:r>
      <w:r>
        <w:t>The AED 3,000/month founder stipend (AED 18,000 over 6 months) compensates for the full-time technical and operational work that the Operating Partner contributes. This is paid from the combined investment pool, not from revenue. The Founding Partner does not receive a stipend because they maintain their current employment during the launch phase. This structure ensures both partners carry fair risk relative to their contribution.</w:t>
      </w:r>
    </w:p>
    <w:p>
      <w:pPr>
        <w:pStyle w:val="Heading1"/>
      </w:pPr>
      <w:r>
        <w:t>Combined Investment Pool: AED 30,000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What It Funds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AED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3135"/>
          </w:tcPr>
          <w:p>
            <w:r>
              <w:t>Validation sprint (ads, interviews, landing)</w:t>
            </w:r>
          </w:p>
        </w:tc>
        <w:tc>
          <w:tcPr>
            <w:tcW w:type="dxa" w:w="3135"/>
          </w:tcPr>
          <w:p>
            <w:r>
              <w:t>1,500</w:t>
            </w:r>
          </w:p>
        </w:tc>
        <w:tc>
          <w:tcPr>
            <w:tcW w:type="dxa" w:w="3135"/>
          </w:tcPr>
          <w:p>
            <w:r>
              <w:t>April 14-18</w:t>
            </w:r>
          </w:p>
        </w:tc>
      </w:tr>
      <w:tr>
        <w:tc>
          <w:tcPr>
            <w:tcW w:type="dxa" w:w="3135"/>
          </w:tcPr>
          <w:p>
            <w:r>
              <w:t>Founder stipend (6 months)</w:t>
            </w:r>
          </w:p>
        </w:tc>
        <w:tc>
          <w:tcPr>
            <w:tcW w:type="dxa" w:w="3135"/>
          </w:tcPr>
          <w:p>
            <w:r>
              <w:t>18,000</w:t>
            </w:r>
          </w:p>
        </w:tc>
        <w:tc>
          <w:tcPr>
            <w:tcW w:type="dxa" w:w="3135"/>
          </w:tcPr>
          <w:p>
            <w:r>
              <w:t>May-October 2026</w:t>
            </w:r>
          </w:p>
        </w:tc>
      </w:tr>
      <w:tr>
        <w:tc>
          <w:tcPr>
            <w:tcW w:type="dxa" w:w="3135"/>
          </w:tcPr>
          <w:p>
            <w:r>
              <w:t>Infrastructure (Supabase, OpenAI, domain, hosting)</w:t>
            </w:r>
          </w:p>
        </w:tc>
        <w:tc>
          <w:tcPr>
            <w:tcW w:type="dxa" w:w="3135"/>
          </w:tcPr>
          <w:p>
            <w:r>
              <w:t>2,000</w:t>
            </w:r>
          </w:p>
        </w:tc>
        <w:tc>
          <w:tcPr>
            <w:tcW w:type="dxa" w:w="3135"/>
          </w:tcPr>
          <w:p>
            <w:r>
              <w:t>April-July 2026</w:t>
            </w:r>
          </w:p>
        </w:tc>
      </w:tr>
      <w:tr>
        <w:tc>
          <w:tcPr>
            <w:tcW w:type="dxa" w:w="3135"/>
          </w:tcPr>
          <w:p>
            <w:r>
              <w:t>Legal (PDPL compliance review, partnership agreement)</w:t>
            </w:r>
          </w:p>
        </w:tc>
        <w:tc>
          <w:tcPr>
            <w:tcW w:type="dxa" w:w="3135"/>
          </w:tcPr>
          <w:p>
            <w:r>
              <w:t>3,000</w:t>
            </w:r>
          </w:p>
        </w:tc>
        <w:tc>
          <w:tcPr>
            <w:tcW w:type="dxa" w:w="3135"/>
          </w:tcPr>
          <w:p>
            <w:r>
              <w:t>April 2026</w:t>
            </w:r>
          </w:p>
        </w:tc>
      </w:tr>
      <w:tr>
        <w:tc>
          <w:tcPr>
            <w:tcW w:type="dxa" w:w="3135"/>
          </w:tcPr>
          <w:p>
            <w:r>
              <w:t>Marketing (paid ads + content after launch)</w:t>
            </w:r>
          </w:p>
        </w:tc>
        <w:tc>
          <w:tcPr>
            <w:tcW w:type="dxa" w:w="3135"/>
          </w:tcPr>
          <w:p>
            <w:r>
              <w:t>2,500</w:t>
            </w:r>
          </w:p>
        </w:tc>
        <w:tc>
          <w:tcPr>
            <w:tcW w:type="dxa" w:w="3135"/>
          </w:tcPr>
          <w:p>
            <w:r>
              <w:t>May-July 2026</w:t>
            </w:r>
          </w:p>
        </w:tc>
      </w:tr>
      <w:tr>
        <w:tc>
          <w:tcPr>
            <w:tcW w:type="dxa" w:w="3135"/>
          </w:tcPr>
          <w:p>
            <w:r>
              <w:t>Contingency / emergency buffer</w:t>
            </w:r>
          </w:p>
        </w:tc>
        <w:tc>
          <w:tcPr>
            <w:tcW w:type="dxa" w:w="3135"/>
          </w:tcPr>
          <w:p>
            <w:r>
              <w:t>3,000</w:t>
            </w:r>
          </w:p>
        </w:tc>
        <w:tc>
          <w:tcPr>
            <w:tcW w:type="dxa" w:w="3135"/>
          </w:tcPr>
          <w:p>
            <w:r>
              <w:t>As needed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30,000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Monthly Recurring Costs After Launch</w:t>
      </w:r>
    </w:p>
    <w:p>
      <w:r>
        <w:t>JobStrike is designed to be extremely lean. Monthly operating costs at different user scales: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Cost Item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At 300 Users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At 1,000 Users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At 5,000 Users</w:t>
            </w:r>
          </w:p>
        </w:tc>
      </w:tr>
      <w:tr>
        <w:tc>
          <w:tcPr>
            <w:tcW w:type="dxa" w:w="2351"/>
          </w:tcPr>
          <w:p>
            <w:r>
              <w:t>Supabase (database + auth)</w:t>
            </w:r>
          </w:p>
        </w:tc>
        <w:tc>
          <w:tcPr>
            <w:tcW w:type="dxa" w:w="2351"/>
          </w:tcPr>
          <w:p>
            <w:r>
              <w:t>AED 90</w:t>
            </w:r>
          </w:p>
        </w:tc>
        <w:tc>
          <w:tcPr>
            <w:tcW w:type="dxa" w:w="2351"/>
          </w:tcPr>
          <w:p>
            <w:r>
              <w:t>AED 90</w:t>
            </w:r>
          </w:p>
        </w:tc>
        <w:tc>
          <w:tcPr>
            <w:tcW w:type="dxa" w:w="2351"/>
          </w:tcPr>
          <w:p>
            <w:r>
              <w:t>AED 370</w:t>
            </w:r>
          </w:p>
        </w:tc>
      </w:tr>
      <w:tr>
        <w:tc>
          <w:tcPr>
            <w:tcW w:type="dxa" w:w="2351"/>
          </w:tcPr>
          <w:p>
            <w:r>
              <w:t>OpenAI API (fit scoring)</w:t>
            </w:r>
          </w:p>
        </w:tc>
        <w:tc>
          <w:tcPr>
            <w:tcW w:type="dxa" w:w="2351"/>
          </w:tcPr>
          <w:p>
            <w:r>
              <w:t>AED 75</w:t>
            </w:r>
          </w:p>
        </w:tc>
        <w:tc>
          <w:tcPr>
            <w:tcW w:type="dxa" w:w="2351"/>
          </w:tcPr>
          <w:p>
            <w:r>
              <w:t>AED 200</w:t>
            </w:r>
          </w:p>
        </w:tc>
        <w:tc>
          <w:tcPr>
            <w:tcW w:type="dxa" w:w="2351"/>
          </w:tcPr>
          <w:p>
            <w:r>
              <w:t>AED 750</w:t>
            </w:r>
          </w:p>
        </w:tc>
      </w:tr>
      <w:tr>
        <w:tc>
          <w:tcPr>
            <w:tcW w:type="dxa" w:w="2351"/>
          </w:tcPr>
          <w:p>
            <w:r>
              <w:t>Vercel hosting</w:t>
            </w:r>
          </w:p>
        </w:tc>
        <w:tc>
          <w:tcPr>
            <w:tcW w:type="dxa" w:w="2351"/>
          </w:tcPr>
          <w:p>
            <w:r>
              <w:t>AED 0</w:t>
            </w:r>
          </w:p>
        </w:tc>
        <w:tc>
          <w:tcPr>
            <w:tcW w:type="dxa" w:w="2351"/>
          </w:tcPr>
          <w:p>
            <w:r>
              <w:t>AED 75</w:t>
            </w:r>
          </w:p>
        </w:tc>
        <w:tc>
          <w:tcPr>
            <w:tcW w:type="dxa" w:w="2351"/>
          </w:tcPr>
          <w:p>
            <w:r>
              <w:t>AED 75</w:t>
            </w:r>
          </w:p>
        </w:tc>
      </w:tr>
      <w:tr>
        <w:tc>
          <w:tcPr>
            <w:tcW w:type="dxa" w:w="2351"/>
          </w:tcPr>
          <w:p>
            <w:r>
              <w:t>Resend email</w:t>
            </w:r>
          </w:p>
        </w:tc>
        <w:tc>
          <w:tcPr>
            <w:tcW w:type="dxa" w:w="2351"/>
          </w:tcPr>
          <w:p>
            <w:r>
              <w:t>AED 0</w:t>
            </w:r>
          </w:p>
        </w:tc>
        <w:tc>
          <w:tcPr>
            <w:tcW w:type="dxa" w:w="2351"/>
          </w:tcPr>
          <w:p>
            <w:r>
              <w:t>AED 0</w:t>
            </w:r>
          </w:p>
        </w:tc>
        <w:tc>
          <w:tcPr>
            <w:tcW w:type="dxa" w:w="2351"/>
          </w:tcPr>
          <w:p>
            <w:r>
              <w:t>AED 190</w:t>
            </w:r>
          </w:p>
        </w:tc>
      </w:tr>
      <w:tr>
        <w:tc>
          <w:tcPr>
            <w:tcW w:type="dxa" w:w="2351"/>
          </w:tcPr>
          <w:p>
            <w:r>
              <w:t>Sentry monitoring</w:t>
            </w:r>
          </w:p>
        </w:tc>
        <w:tc>
          <w:tcPr>
            <w:tcW w:type="dxa" w:w="2351"/>
          </w:tcPr>
          <w:p>
            <w:r>
              <w:t>AED 0</w:t>
            </w:r>
          </w:p>
        </w:tc>
        <w:tc>
          <w:tcPr>
            <w:tcW w:type="dxa" w:w="2351"/>
          </w:tcPr>
          <w:p>
            <w:r>
              <w:t>AED 0</w:t>
            </w:r>
          </w:p>
        </w:tc>
        <w:tc>
          <w:tcPr>
            <w:tcW w:type="dxa" w:w="2351"/>
          </w:tcPr>
          <w:p>
            <w:r>
              <w:t>AED 95</w:t>
            </w:r>
          </w:p>
        </w:tc>
      </w:tr>
      <w:tr>
        <w:tc>
          <w:tcPr>
            <w:tcW w:type="dxa" w:w="2351"/>
          </w:tcPr>
          <w:p>
            <w:r>
              <w:t>Domain + DNS</w:t>
            </w:r>
          </w:p>
        </w:tc>
        <w:tc>
          <w:tcPr>
            <w:tcW w:type="dxa" w:w="2351"/>
          </w:tcPr>
          <w:p>
            <w:r>
              <w:t>AED 15</w:t>
            </w:r>
          </w:p>
        </w:tc>
        <w:tc>
          <w:tcPr>
            <w:tcW w:type="dxa" w:w="2351"/>
          </w:tcPr>
          <w:p>
            <w:r>
              <w:t>AED 15</w:t>
            </w:r>
          </w:p>
        </w:tc>
        <w:tc>
          <w:tcPr>
            <w:tcW w:type="dxa" w:w="2351"/>
          </w:tcPr>
          <w:p>
            <w:r>
              <w:t>AED 15</w:t>
            </w:r>
          </w:p>
        </w:tc>
      </w:tr>
      <w:tr>
        <w:tc>
          <w:tcPr>
            <w:tcW w:type="dxa" w:w="2351"/>
          </w:tcPr>
          <w:p>
            <w:r>
              <w:t>Founder stipend</w:t>
            </w:r>
          </w:p>
        </w:tc>
        <w:tc>
          <w:tcPr>
            <w:tcW w:type="dxa" w:w="2351"/>
          </w:tcPr>
          <w:p>
            <w:r>
              <w:t>AED 3,000</w:t>
            </w:r>
          </w:p>
        </w:tc>
        <w:tc>
          <w:tcPr>
            <w:tcW w:type="dxa" w:w="2351"/>
          </w:tcPr>
          <w:p>
            <w:r>
              <w:t>AED 3,000</w:t>
            </w:r>
          </w:p>
        </w:tc>
        <w:tc>
          <w:tcPr>
            <w:tcW w:type="dxa" w:w="2351"/>
          </w:tcPr>
          <w:p>
            <w:r>
              <w:t>Salary TBD</w:t>
            </w:r>
          </w:p>
        </w:tc>
      </w:tr>
      <w:tr>
        <w:tc>
          <w:tcPr>
            <w:tcW w:type="dxa" w:w="2351"/>
          </w:tcPr>
          <w:p>
            <w:r>
              <w:t>Marketing (paid)</w:t>
            </w:r>
          </w:p>
        </w:tc>
        <w:tc>
          <w:tcPr>
            <w:tcW w:type="dxa" w:w="2351"/>
          </w:tcPr>
          <w:p>
            <w:r>
              <w:t>AED 500</w:t>
            </w:r>
          </w:p>
        </w:tc>
        <w:tc>
          <w:tcPr>
            <w:tcW w:type="dxa" w:w="2351"/>
          </w:tcPr>
          <w:p>
            <w:r>
              <w:t>AED 1,500</w:t>
            </w:r>
          </w:p>
        </w:tc>
        <w:tc>
          <w:tcPr>
            <w:tcW w:type="dxa" w:w="2351"/>
          </w:tcPr>
          <w:p>
            <w:r>
              <w:t>AED 5,000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TOTAL MONTHLY COST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AED 3,680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AED 4,880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AED 6,495+</w:t>
            </w:r>
          </w:p>
        </w:tc>
      </w:tr>
    </w:tbl>
    <w:p>
      <w:pPr>
        <w:pStyle w:val="Heading1"/>
      </w:pPr>
      <w:r>
        <w:t>Road to Profitability</w:t>
      </w:r>
    </w:p>
    <w:p>
      <w:r>
        <w:t>Subscription price: AED 49/month or AED 399/year (14-day free trial). Conservative assumption: 5% of free users convert to paid.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568"/>
          </w:tcPr>
          <w:p>
            <w:r>
              <w:rPr>
                <w:b/>
              </w:rPr>
              <w:t>Total Users</w:t>
            </w:r>
          </w:p>
        </w:tc>
        <w:tc>
          <w:tcPr>
            <w:tcW w:type="dxa" w:w="1568"/>
          </w:tcPr>
          <w:p>
            <w:r>
              <w:rPr>
                <w:b/>
              </w:rPr>
              <w:t>Paying Users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Monthly Revenue (AED)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Monthly Cost (AED)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Net Profit (AED)</w:t>
            </w:r>
          </w:p>
        </w:tc>
      </w:tr>
      <w:tr>
        <w:tc>
          <w:tcPr>
            <w:tcW w:type="dxa" w:w="1568"/>
          </w:tcPr>
          <w:p>
            <w:r>
              <w:t>May (M1)</w:t>
            </w:r>
          </w:p>
        </w:tc>
        <w:tc>
          <w:tcPr>
            <w:tcW w:type="dxa" w:w="1568"/>
          </w:tcPr>
          <w:p>
            <w:r>
              <w:t>300</w:t>
            </w:r>
          </w:p>
        </w:tc>
        <w:tc>
          <w:tcPr>
            <w:tcW w:type="dxa" w:w="1568"/>
          </w:tcPr>
          <w:p>
            <w:r>
              <w:t>25</w:t>
            </w:r>
          </w:p>
        </w:tc>
        <w:tc>
          <w:tcPr>
            <w:tcW w:type="dxa" w:w="1568"/>
          </w:tcPr>
          <w:p>
            <w:r>
              <w:t>1,225</w:t>
            </w:r>
          </w:p>
        </w:tc>
        <w:tc>
          <w:tcPr>
            <w:tcW w:type="dxa" w:w="1568"/>
          </w:tcPr>
          <w:p>
            <w:r>
              <w:t>3,680</w:t>
            </w:r>
          </w:p>
        </w:tc>
        <w:tc>
          <w:tcPr>
            <w:tcW w:type="dxa" w:w="1568"/>
          </w:tcPr>
          <w:p>
            <w:r>
              <w:rPr>
                <w:color w:val="C00000"/>
              </w:rPr>
              <w:t>-2,455</w:t>
            </w:r>
          </w:p>
        </w:tc>
      </w:tr>
      <w:tr>
        <w:tc>
          <w:tcPr>
            <w:tcW w:type="dxa" w:w="1568"/>
          </w:tcPr>
          <w:p>
            <w:r>
              <w:t>June (M2)</w:t>
            </w:r>
          </w:p>
        </w:tc>
        <w:tc>
          <w:tcPr>
            <w:tcW w:type="dxa" w:w="1568"/>
          </w:tcPr>
          <w:p>
            <w:r>
              <w:t>800</w:t>
            </w:r>
          </w:p>
        </w:tc>
        <w:tc>
          <w:tcPr>
            <w:tcW w:type="dxa" w:w="1568"/>
          </w:tcPr>
          <w:p>
            <w:r>
              <w:t>60</w:t>
            </w:r>
          </w:p>
        </w:tc>
        <w:tc>
          <w:tcPr>
            <w:tcW w:type="dxa" w:w="1568"/>
          </w:tcPr>
          <w:p>
            <w:r>
              <w:t>2,940</w:t>
            </w:r>
          </w:p>
        </w:tc>
        <w:tc>
          <w:tcPr>
            <w:tcW w:type="dxa" w:w="1568"/>
          </w:tcPr>
          <w:p>
            <w:r>
              <w:t>3,800</w:t>
            </w:r>
          </w:p>
        </w:tc>
        <w:tc>
          <w:tcPr>
            <w:tcW w:type="dxa" w:w="1568"/>
          </w:tcPr>
          <w:p>
            <w:r>
              <w:rPr>
                <w:color w:val="C00000"/>
              </w:rPr>
              <w:t>-860</w:t>
            </w:r>
          </w:p>
        </w:tc>
      </w:tr>
      <w:tr>
        <w:tc>
          <w:tcPr>
            <w:tcW w:type="dxa" w:w="1568"/>
          </w:tcPr>
          <w:p>
            <w:r>
              <w:t>July (M3)</w:t>
            </w:r>
          </w:p>
        </w:tc>
        <w:tc>
          <w:tcPr>
            <w:tcW w:type="dxa" w:w="1568"/>
          </w:tcPr>
          <w:p>
            <w:r>
              <w:t>1,500</w:t>
            </w:r>
          </w:p>
        </w:tc>
        <w:tc>
          <w:tcPr>
            <w:tcW w:type="dxa" w:w="1568"/>
          </w:tcPr>
          <w:p>
            <w:r>
              <w:t>120</w:t>
            </w:r>
          </w:p>
        </w:tc>
        <w:tc>
          <w:tcPr>
            <w:tcW w:type="dxa" w:w="1568"/>
          </w:tcPr>
          <w:p>
            <w:r>
              <w:t>5,880</w:t>
            </w:r>
          </w:p>
        </w:tc>
        <w:tc>
          <w:tcPr>
            <w:tcW w:type="dxa" w:w="1568"/>
          </w:tcPr>
          <w:p>
            <w:r>
              <w:t>4,100</w:t>
            </w:r>
          </w:p>
        </w:tc>
        <w:tc>
          <w:tcPr>
            <w:tcW w:type="dxa" w:w="1568"/>
          </w:tcPr>
          <w:p>
            <w:r>
              <w:rPr>
                <w:color w:val="008000"/>
              </w:rPr>
              <w:t>+1,780</w:t>
            </w:r>
          </w:p>
        </w:tc>
      </w:tr>
      <w:tr>
        <w:tc>
          <w:tcPr>
            <w:tcW w:type="dxa" w:w="1568"/>
          </w:tcPr>
          <w:p>
            <w:r>
              <w:t>Aug (M4)</w:t>
            </w:r>
          </w:p>
        </w:tc>
        <w:tc>
          <w:tcPr>
            <w:tcW w:type="dxa" w:w="1568"/>
          </w:tcPr>
          <w:p>
            <w:r>
              <w:t>2,500</w:t>
            </w:r>
          </w:p>
        </w:tc>
        <w:tc>
          <w:tcPr>
            <w:tcW w:type="dxa" w:w="1568"/>
          </w:tcPr>
          <w:p>
            <w:r>
              <w:t>180</w:t>
            </w:r>
          </w:p>
        </w:tc>
        <w:tc>
          <w:tcPr>
            <w:tcW w:type="dxa" w:w="1568"/>
          </w:tcPr>
          <w:p>
            <w:r>
              <w:t>8,820</w:t>
            </w:r>
          </w:p>
        </w:tc>
        <w:tc>
          <w:tcPr>
            <w:tcW w:type="dxa" w:w="1568"/>
          </w:tcPr>
          <w:p>
            <w:r>
              <w:t>4,400</w:t>
            </w:r>
          </w:p>
        </w:tc>
        <w:tc>
          <w:tcPr>
            <w:tcW w:type="dxa" w:w="1568"/>
          </w:tcPr>
          <w:p>
            <w:r>
              <w:rPr>
                <w:color w:val="008000"/>
              </w:rPr>
              <w:t>+4,420</w:t>
            </w:r>
          </w:p>
        </w:tc>
      </w:tr>
      <w:tr>
        <w:tc>
          <w:tcPr>
            <w:tcW w:type="dxa" w:w="1568"/>
          </w:tcPr>
          <w:p>
            <w:r>
              <w:t>Sep (M5)</w:t>
            </w:r>
          </w:p>
        </w:tc>
        <w:tc>
          <w:tcPr>
            <w:tcW w:type="dxa" w:w="1568"/>
          </w:tcPr>
          <w:p>
            <w:r>
              <w:t>3,500</w:t>
            </w:r>
          </w:p>
        </w:tc>
        <w:tc>
          <w:tcPr>
            <w:tcW w:type="dxa" w:w="1568"/>
          </w:tcPr>
          <w:p>
            <w:r>
              <w:t>260</w:t>
            </w:r>
          </w:p>
        </w:tc>
        <w:tc>
          <w:tcPr>
            <w:tcW w:type="dxa" w:w="1568"/>
          </w:tcPr>
          <w:p>
            <w:r>
              <w:t>12,740</w:t>
            </w:r>
          </w:p>
        </w:tc>
        <w:tc>
          <w:tcPr>
            <w:tcW w:type="dxa" w:w="1568"/>
          </w:tcPr>
          <w:p>
            <w:r>
              <w:t>4,700</w:t>
            </w:r>
          </w:p>
        </w:tc>
        <w:tc>
          <w:tcPr>
            <w:tcW w:type="dxa" w:w="1568"/>
          </w:tcPr>
          <w:p>
            <w:r>
              <w:rPr>
                <w:color w:val="008000"/>
              </w:rPr>
              <w:t>+8,040</w:t>
            </w:r>
          </w:p>
        </w:tc>
      </w:tr>
      <w:tr>
        <w:tc>
          <w:tcPr>
            <w:tcW w:type="dxa" w:w="1568"/>
          </w:tcPr>
          <w:p>
            <w:r>
              <w:t>Oct (M6)</w:t>
            </w:r>
          </w:p>
        </w:tc>
        <w:tc>
          <w:tcPr>
            <w:tcW w:type="dxa" w:w="1568"/>
          </w:tcPr>
          <w:p>
            <w:r>
              <w:t>5,000</w:t>
            </w:r>
          </w:p>
        </w:tc>
        <w:tc>
          <w:tcPr>
            <w:tcW w:type="dxa" w:w="1568"/>
          </w:tcPr>
          <w:p>
            <w:r>
              <w:t>400</w:t>
            </w:r>
          </w:p>
        </w:tc>
        <w:tc>
          <w:tcPr>
            <w:tcW w:type="dxa" w:w="1568"/>
          </w:tcPr>
          <w:p>
            <w:r>
              <w:t>19,600</w:t>
            </w:r>
          </w:p>
        </w:tc>
        <w:tc>
          <w:tcPr>
            <w:tcW w:type="dxa" w:w="1568"/>
          </w:tcPr>
          <w:p>
            <w:r>
              <w:t>5,200</w:t>
            </w:r>
          </w:p>
        </w:tc>
        <w:tc>
          <w:tcPr>
            <w:tcW w:type="dxa" w:w="1568"/>
          </w:tcPr>
          <w:p>
            <w:r>
              <w:rPr>
                <w:color w:val="008000"/>
              </w:rPr>
              <w:t>+14,400</w:t>
            </w:r>
          </w:p>
        </w:tc>
      </w:tr>
      <w:tr>
        <w:tc>
          <w:tcPr>
            <w:tcW w:type="dxa" w:w="1568"/>
          </w:tcPr>
          <w:p>
            <w:r>
              <w:t>Nov (M7)</w:t>
            </w:r>
          </w:p>
        </w:tc>
        <w:tc>
          <w:tcPr>
            <w:tcW w:type="dxa" w:w="1568"/>
          </w:tcPr>
          <w:p>
            <w:r>
              <w:t>6,000</w:t>
            </w:r>
          </w:p>
        </w:tc>
        <w:tc>
          <w:tcPr>
            <w:tcW w:type="dxa" w:w="1568"/>
          </w:tcPr>
          <w:p>
            <w:r>
              <w:t>480</w:t>
            </w:r>
          </w:p>
        </w:tc>
        <w:tc>
          <w:tcPr>
            <w:tcW w:type="dxa" w:w="1568"/>
          </w:tcPr>
          <w:p>
            <w:r>
              <w:t>23,520</w:t>
            </w:r>
          </w:p>
        </w:tc>
        <w:tc>
          <w:tcPr>
            <w:tcW w:type="dxa" w:w="1568"/>
          </w:tcPr>
          <w:p>
            <w:r>
              <w:t>5,500</w:t>
            </w:r>
          </w:p>
        </w:tc>
        <w:tc>
          <w:tcPr>
            <w:tcW w:type="dxa" w:w="1568"/>
          </w:tcPr>
          <w:p>
            <w:r>
              <w:rPr>
                <w:color w:val="008000"/>
              </w:rPr>
              <w:t>+18,020</w:t>
            </w:r>
          </w:p>
        </w:tc>
      </w:tr>
      <w:tr>
        <w:tc>
          <w:tcPr>
            <w:tcW w:type="dxa" w:w="1568"/>
          </w:tcPr>
          <w:p>
            <w:r>
              <w:t>Dec (M8)</w:t>
            </w:r>
          </w:p>
        </w:tc>
        <w:tc>
          <w:tcPr>
            <w:tcW w:type="dxa" w:w="1568"/>
          </w:tcPr>
          <w:p>
            <w:r>
              <w:t>7,000</w:t>
            </w:r>
          </w:p>
        </w:tc>
        <w:tc>
          <w:tcPr>
            <w:tcW w:type="dxa" w:w="1568"/>
          </w:tcPr>
          <w:p>
            <w:r>
              <w:t>560</w:t>
            </w:r>
          </w:p>
        </w:tc>
        <w:tc>
          <w:tcPr>
            <w:tcW w:type="dxa" w:w="1568"/>
          </w:tcPr>
          <w:p>
            <w:r>
              <w:t>27,440</w:t>
            </w:r>
          </w:p>
        </w:tc>
        <w:tc>
          <w:tcPr>
            <w:tcW w:type="dxa" w:w="1568"/>
          </w:tcPr>
          <w:p>
            <w:r>
              <w:t>5,800</w:t>
            </w:r>
          </w:p>
        </w:tc>
        <w:tc>
          <w:tcPr>
            <w:tcW w:type="dxa" w:w="1568"/>
          </w:tcPr>
          <w:p>
            <w:r>
              <w:rPr>
                <w:color w:val="008000"/>
              </w:rPr>
              <w:t>+21,640</w:t>
            </w:r>
          </w:p>
        </w:tc>
      </w:tr>
    </w:tbl>
    <w:p/>
    <w:p>
      <w:r>
        <w:rPr>
          <w:b/>
        </w:rPr>
        <w:t>Key milestones:</w:t>
      </w:r>
    </w:p>
    <w:p>
      <w:pPr>
        <w:pStyle w:val="ListBullet"/>
      </w:pPr>
      <w:r>
        <w:t>Month 3 (July 2026): First profitable month. Revenue exceeds costs.</w:t>
      </w:r>
    </w:p>
    <w:p>
      <w:pPr>
        <w:pStyle w:val="ListBullet"/>
      </w:pPr>
      <w:r>
        <w:t>Month 5 (September 2026): Cumulative losses fully recovered. Business is self-sustaining.</w:t>
      </w:r>
    </w:p>
    <w:p>
      <w:pPr>
        <w:pStyle w:val="ListBullet"/>
      </w:pPr>
      <w:r>
        <w:t>Month 8 (December 2026): AED 21,640/month net profit. Both partners earning real returns.</w:t>
      </w:r>
    </w:p>
    <w:p>
      <w:pPr>
        <w:pStyle w:val="ListBullet"/>
      </w:pPr>
      <w:r>
        <w:t>Month 10 (February 2027): Combined AED 30,000 investment fully paid back from profits.</w:t>
      </w:r>
    </w:p>
    <w:p>
      <w:r>
        <w:rPr>
          <w:b/>
        </w:rPr>
        <w:t xml:space="preserve">Payback period: ~10 months. </w:t>
      </w:r>
      <w:r>
        <w:t>Both partners recover their full cash investment (AED 20K + AED 10K) by approximately February 2027, with the business generating AED 20,000+/month in net profit going forward.</w:t>
      </w:r>
    </w:p>
    <w:p>
      <w:pPr>
        <w:pStyle w:val="Heading1"/>
      </w:pPr>
      <w:r>
        <w:t>Why This Partnership Works</w:t>
      </w:r>
    </w:p>
    <w:p>
      <w:r>
        <w:t>This is not a silent investment. The Founding Partner's background as a Director of Training in Dubai's hospitality sector brings three things money cannot buy:</w:t>
      </w:r>
    </w:p>
    <w:p>
      <w:r>
        <w:rPr>
          <w:b/>
        </w:rPr>
        <w:t xml:space="preserve">Employer network access. </w:t>
      </w:r>
      <w:r>
        <w:t>Direct introductions to hotel HR departments, hospitality hiring managers, and training directors across Dubai. Hospitality is one of our 5 target sectors (16,353 UAE companies). When we launch the employer concierge pilot in Month 6, these introductions become our first 10 employer partners.</w:t>
      </w:r>
    </w:p>
    <w:p>
      <w:r>
        <w:rPr>
          <w:b/>
        </w:rPr>
        <w:t xml:space="preserve">Founder Office Hours credibility. </w:t>
      </w:r>
      <w:r>
        <w:t>Two co-founders with combined 15+ years of UAE HR and hospitality experience hosting weekly live sessions is far more compelling than one person alone. This is the single most defensible feature in the product — and it requires two voices to scale.</w:t>
      </w:r>
    </w:p>
    <w:p>
      <w:r>
        <w:rPr>
          <w:b/>
        </w:rPr>
        <w:t xml:space="preserve">Content and authority. </w:t>
      </w:r>
      <w:r>
        <w:t>LinkedIn posts, industry commentary, and market insight from inside Dubai's hospitality sector. This content drives organic acquisition at zero cost. A hotel training director's perspective on 'what employers actually look for' is the kind of content that goes viral in UAE expat WhatsApp groups.</w:t>
      </w:r>
    </w:p>
    <w:p>
      <w:pPr>
        <w:pStyle w:val="Heading1"/>
      </w:pPr>
      <w:r>
        <w:t>Founding Partner Commitments (First 6 Months)</w:t>
      </w:r>
    </w:p>
    <w:p>
      <w:pPr>
        <w:pStyle w:val="ListBullet"/>
      </w:pPr>
      <w:r>
        <w:t>Invest AED 20,000 before April 14, 2026</w:t>
      </w:r>
    </w:p>
    <w:p>
      <w:pPr>
        <w:pStyle w:val="ListBullet"/>
      </w:pPr>
      <w:r>
        <w:t>Dedicate ~15 hours/week to JobStrike alongside current employment</w:t>
      </w:r>
    </w:p>
    <w:p>
      <w:pPr>
        <w:pStyle w:val="ListBullet"/>
      </w:pPr>
      <w:r>
        <w:t>Co-host Founder Office Hours at least twice per month (Sundays, 30 min)</w:t>
      </w:r>
    </w:p>
    <w:p>
      <w:pPr>
        <w:pStyle w:val="ListBullet"/>
      </w:pPr>
      <w:r>
        <w:t>Introduce JobStrike to at least 10 hospitality employers by Month 6</w:t>
      </w:r>
    </w:p>
    <w:p>
      <w:pPr>
        <w:pStyle w:val="ListBullet"/>
      </w:pPr>
      <w:r>
        <w:t>Create at least 2 LinkedIn posts per week about UAE job market insights</w:t>
      </w:r>
    </w:p>
    <w:p>
      <w:pPr>
        <w:pStyle w:val="ListBullet"/>
      </w:pPr>
      <w:r>
        <w:t>Participate in monthly partner check-in (review metrics, adjust strategy)</w:t>
      </w:r>
    </w:p>
    <w:p>
      <w:pPr>
        <w:pStyle w:val="ListBullet"/>
      </w:pPr>
      <w:r>
        <w:t>Agree to 4-year vesting with 1-year cliff (standard co-founder terms)</w:t>
      </w:r>
    </w:p>
    <w:p>
      <w:pPr>
        <w:pStyle w:val="Heading1"/>
      </w:pPr>
      <w:r>
        <w:t>Timeline At-a-Glance</w:t>
      </w:r>
    </w:p>
    <w:p>
      <w:pPr>
        <w:pStyle w:val="ListBullet"/>
      </w:pPr>
      <w:r>
        <w:rPr>
          <w:b/>
        </w:rPr>
        <w:t xml:space="preserve">April 11-13: </w:t>
      </w:r>
      <w:r>
        <w:t>Documents finalized, landing page built</w:t>
      </w:r>
    </w:p>
    <w:p>
      <w:pPr>
        <w:pStyle w:val="ListBullet"/>
      </w:pPr>
      <w:r>
        <w:rPr>
          <w:b/>
        </w:rPr>
        <w:t xml:space="preserve">April 14-18: </w:t>
      </w:r>
      <w:r>
        <w:t>Validation sprint (5 days, AED 1,500)</w:t>
      </w:r>
    </w:p>
    <w:p>
      <w:pPr>
        <w:pStyle w:val="ListBullet"/>
      </w:pPr>
      <w:r>
        <w:rPr>
          <w:b/>
        </w:rPr>
        <w:t xml:space="preserve">April 19: </w:t>
      </w:r>
      <w:r>
        <w:t>Go/No-Go decision</w:t>
      </w:r>
    </w:p>
    <w:p>
      <w:pPr>
        <w:pStyle w:val="ListBullet"/>
      </w:pPr>
      <w:r>
        <w:rPr>
          <w:b/>
        </w:rPr>
        <w:t xml:space="preserve">April 20-30: </w:t>
      </w:r>
      <w:r>
        <w:t>Build sprint (11 days)</w:t>
      </w:r>
    </w:p>
    <w:p>
      <w:pPr>
        <w:pStyle w:val="ListBullet"/>
      </w:pPr>
      <w:r>
        <w:rPr>
          <w:b/>
        </w:rPr>
        <w:t xml:space="preserve">May 1, 2026: </w:t>
      </w:r>
      <w:r>
        <w:t>PUBLIC LAUNCH</w:t>
      </w:r>
    </w:p>
    <w:p>
      <w:pPr>
        <w:pStyle w:val="ListBullet"/>
      </w:pPr>
      <w:r>
        <w:rPr>
          <w:b/>
        </w:rPr>
        <w:t xml:space="preserve">May-June: </w:t>
      </w:r>
      <w:r>
        <w:t>First 60 paying users, first Office Hours sessions</w:t>
      </w:r>
    </w:p>
    <w:p>
      <w:pPr>
        <w:pStyle w:val="ListBullet"/>
      </w:pPr>
      <w:r>
        <w:rPr>
          <w:b/>
        </w:rPr>
        <w:t xml:space="preserve">July: </w:t>
      </w:r>
      <w:r>
        <w:t>First profitable month</w:t>
      </w:r>
    </w:p>
    <w:p>
      <w:pPr>
        <w:pStyle w:val="ListBullet"/>
      </w:pPr>
      <w:r>
        <w:rPr>
          <w:b/>
        </w:rPr>
        <w:t xml:space="preserve">October: </w:t>
      </w:r>
      <w:r>
        <w:t>Employer concierge pilot (partner's network activated)</w:t>
      </w:r>
    </w:p>
    <w:p>
      <w:pPr>
        <w:pStyle w:val="ListBullet"/>
      </w:pPr>
      <w:r>
        <w:rPr>
          <w:b/>
        </w:rPr>
        <w:t xml:space="preserve">February 2027: </w:t>
      </w:r>
      <w:r>
        <w:t>Full investment payback</w:t>
      </w:r>
    </w:p>
    <w:p>
      <w:pPr>
        <w:pStyle w:val="Heading1"/>
      </w:pPr>
      <w:r>
        <w:t>How Both Partners Are Protected</w:t>
      </w:r>
    </w:p>
    <w:p>
      <w:r>
        <w:rPr>
          <w:b/>
        </w:rPr>
        <w:t xml:space="preserve">Vesting with cliff: </w:t>
      </w:r>
      <w:r>
        <w:t>If either partner leaves in the first 12 months, their unvested shares return to the company. Neither person can walk away with 50% after contributing for 3 months.</w:t>
      </w:r>
    </w:p>
    <w:p>
      <w:r>
        <w:rPr>
          <w:b/>
        </w:rPr>
        <w:t xml:space="preserve">Monthly metrics review: </w:t>
      </w:r>
      <w:r>
        <w:t>Both partners see the same dashboard: users, revenue, churn, cost. No information asymmetry.</w:t>
      </w:r>
    </w:p>
    <w:p>
      <w:r>
        <w:rPr>
          <w:b/>
        </w:rPr>
        <w:t xml:space="preserve">Defined roles: </w:t>
      </w:r>
      <w:r>
        <w:t>The Operating Partner builds and runs the product. The Founding Partner builds the network and co-hosts Office Hours. No ambiguity about who does what.</w:t>
      </w:r>
    </w:p>
    <w:p>
      <w:r>
        <w:rPr>
          <w:b/>
        </w:rPr>
        <w:t xml:space="preserve">Exit clause: </w:t>
      </w:r>
      <w:r>
        <w:t>If either partner wants out after Year 1, the other has first right of refusal to buy their shares at a fair market valuation (agreed formula in the partnership agreement).</w:t>
      </w:r>
    </w:p>
    <w:p>
      <w:r>
        <w:rPr>
          <w:b/>
        </w:rPr>
        <w:t xml:space="preserve">Validation gate: </w:t>
      </w:r>
      <w:r>
        <w:t>If the 5-day validation sprint (April 14-18) fails to hit 2 of 3 decision gates, we do NOT proceed. The remaining AED 28,500 is never spent. Maximum loss: AED 1,500.</w:t>
      </w:r>
    </w:p>
    <w:p>
      <w:pPr>
        <w:pStyle w:val="Heading1"/>
      </w:pPr>
      <w:r>
        <w:t>Next Steps</w:t>
      </w:r>
    </w:p>
    <w:p>
      <w:r>
        <w:rPr>
          <w:b/>
        </w:rPr>
        <w:t xml:space="preserve">1. </w:t>
      </w:r>
      <w:r>
        <w:t>Review this document together</w:t>
      </w:r>
    </w:p>
    <w:p>
      <w:r>
        <w:rPr>
          <w:b/>
        </w:rPr>
        <w:t xml:space="preserve">2. </w:t>
      </w:r>
      <w:r>
        <w:t>Agree on partnership structure (50-50 with stipend, or alternative)</w:t>
      </w:r>
    </w:p>
    <w:p>
      <w:r>
        <w:rPr>
          <w:b/>
        </w:rPr>
        <w:t xml:space="preserve">3. </w:t>
      </w:r>
      <w:r>
        <w:t>Sign a simple partnership agreement (template available, ~AED 1,500 for legal review)</w:t>
      </w:r>
    </w:p>
    <w:p>
      <w:r>
        <w:rPr>
          <w:b/>
        </w:rPr>
        <w:t xml:space="preserve">4. </w:t>
      </w:r>
      <w:r>
        <w:t>Both partners transfer investment to a shared business account</w:t>
      </w:r>
    </w:p>
    <w:p>
      <w:r>
        <w:rPr>
          <w:b/>
        </w:rPr>
        <w:t xml:space="preserve">5. </w:t>
      </w:r>
      <w:r>
        <w:t>Validation sprint begins Tuesday April 14</w:t>
      </w:r>
    </w:p>
    <w:p/>
    <w:p>
      <w:pPr>
        <w:jc w:val="center"/>
      </w:pPr>
      <w:r>
        <w:rPr>
          <w:i/>
          <w:color w:val="1F4E78"/>
          <w:sz w:val="28"/>
        </w:rPr>
        <w:t>Let's build this together.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