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0E7C6B"/>
          <w:spacing w:val="120"/>
          <w:sz w:val="16"/>
          <w:szCs w:val="16"/>
        </w:rPr>
        <w:t xml:space="preserve">PRODUCT REQUIREMENTS DOCUMENT</w:t>
      </w:r>
    </w:p>
    <w:p>
      <w:pPr>
        <w:spacing w:after="160"/>
      </w:pPr>
      <w:r>
        <w:rPr>
          <w:rFonts w:ascii="Georgia" w:cs="Georgia" w:eastAsia="Georgia" w:hAnsi="Georgia"/>
          <w:color w:val="1A1D1F"/>
          <w:sz w:val="56"/>
          <w:szCs w:val="56"/>
        </w:rPr>
        <w:t xml:space="preserve">CR Portal</w:t>
      </w:r>
    </w:p>
    <w:p>
      <w:pPr>
        <w:spacing w:after="200"/>
      </w:pPr>
      <w:r>
        <w:rPr>
          <w:rFonts w:ascii="Calibri" w:cs="Calibri" w:eastAsia="Calibri" w:hAnsi="Calibri"/>
          <w:color w:val="3D4347"/>
          <w:sz w:val="22"/>
          <w:szCs w:val="22"/>
        </w:rPr>
        <w:t xml:space="preserve">An internal web application for GrabOn's Customer Success team to track merchant performance across the affiliate pipeline, with escalation-driven accountability and complete audit trails.</w:t>
      </w:r>
    </w:p>
    <w:p>
      <w:pPr>
        <w:spacing w:after="120" w:line="276"/>
      </w:pPr>
      <w:r>
        <w:rPr>
          <w:rFonts w:ascii="Calibri" w:cs="Calibri" w:eastAsia="Calibri" w:hAnsi="Calibri"/>
          <w:b/>
          <w:bCs/>
          <w:color w:val="6B7280"/>
          <w:sz w:val="18"/>
          <w:szCs w:val="18"/>
        </w:rPr>
        <w:t xml:space="preserve">Team: </w:t>
      </w:r>
      <w:r>
        <w:rPr>
          <w:rFonts w:ascii="Calibri" w:cs="Calibri" w:eastAsia="Calibri" w:hAnsi="Calibri"/>
          <w:color w:val="6B7280"/>
          <w:sz w:val="18"/>
          <w:szCs w:val="18"/>
        </w:rPr>
        <w:t xml:space="preserve">GrabOn CS    </w:t>
      </w:r>
      <w:r>
        <w:rPr>
          <w:rFonts w:ascii="Calibri" w:cs="Calibri" w:eastAsia="Calibri" w:hAnsi="Calibri"/>
          <w:b/>
          <w:bCs/>
          <w:color w:val="6B7280"/>
          <w:sz w:val="18"/>
          <w:szCs w:val="18"/>
        </w:rPr>
        <w:t xml:space="preserve">Version: </w:t>
      </w:r>
      <w:r>
        <w:rPr>
          <w:rFonts w:ascii="Calibri" w:cs="Calibri" w:eastAsia="Calibri" w:hAnsi="Calibri"/>
          <w:color w:val="6B7280"/>
          <w:sz w:val="18"/>
          <w:szCs w:val="18"/>
        </w:rPr>
        <w:t xml:space="preserve">1.0    </w:t>
      </w:r>
      <w:r>
        <w:rPr>
          <w:rFonts w:ascii="Calibri" w:cs="Calibri" w:eastAsia="Calibri" w:hAnsi="Calibri"/>
          <w:b/>
          <w:bCs/>
          <w:color w:val="6B7280"/>
          <w:sz w:val="18"/>
          <w:szCs w:val="18"/>
        </w:rPr>
        <w:t xml:space="preserve">Status: </w:t>
      </w:r>
      <w:r>
        <w:rPr>
          <w:rFonts w:ascii="Calibri" w:cs="Calibri" w:eastAsia="Calibri" w:hAnsi="Calibri"/>
          <w:color w:val="6B7280"/>
          <w:sz w:val="18"/>
          <w:szCs w:val="18"/>
        </w:rPr>
        <w:t xml:space="preserve">Shipped    </w:t>
      </w:r>
      <w:r>
        <w:rPr>
          <w:rFonts w:ascii="Calibri" w:cs="Calibri" w:eastAsia="Calibri" w:hAnsi="Calibri"/>
          <w:b/>
          <w:bCs/>
          <w:color w:val="6B7280"/>
          <w:sz w:val="18"/>
          <w:szCs w:val="18"/>
        </w:rPr>
        <w:t xml:space="preserve">Date: </w:t>
      </w:r>
      <w:r>
        <w:rPr>
          <w:rFonts w:ascii="Calibri" w:cs="Calibri" w:eastAsia="Calibri" w:hAnsi="Calibri"/>
          <w:color w:val="6B7280"/>
          <w:sz w:val="18"/>
          <w:szCs w:val="18"/>
        </w:rPr>
        <w:t xml:space="preserve">July 2026</w:t>
      </w:r>
    </w:p>
    <w:p>
      <w:pPr>
        <w:pBdr>
          <w:bottom w:val="single" w:color="0E7C6B" w:sz="4" w:space="1"/>
        </w:pBdr>
        <w:spacing w:after="200" w:before="200"/>
      </w:pPr>
    </w:p>
    <w:p>
      <w:pPr>
        <w:spacing w:after="120" w:before="100"/>
      </w:pPr>
      <w:r>
        <w:rPr>
          <w:rFonts w:ascii="Calibri" w:cs="Calibri" w:eastAsia="Calibri" w:hAnsi="Calibri"/>
          <w:b/>
          <w:bCs/>
          <w:color w:val="6B7280"/>
          <w:spacing w:val="80"/>
          <w:sz w:val="16"/>
          <w:szCs w:val="16"/>
        </w:rPr>
        <w:t xml:space="preserve">CONTENTS</w:t>
      </w:r>
    </w:p>
    <w:p>
      <w:pPr>
        <w:spacing w:after="40"/>
      </w:pPr>
      <w:r>
        <w:rPr>
          <w:rFonts w:ascii="Calibri" w:cs="Calibri" w:eastAsia="Calibri" w:hAnsi="Calibri"/>
          <w:color w:val="3D4347"/>
          <w:sz w:val="20"/>
          <w:szCs w:val="20"/>
        </w:rPr>
        <w:t xml:space="preserve">1.  Problem Statement</w:t>
      </w:r>
    </w:p>
    <w:p>
      <w:pPr>
        <w:spacing w:after="40"/>
      </w:pPr>
      <w:r>
        <w:rPr>
          <w:rFonts w:ascii="Calibri" w:cs="Calibri" w:eastAsia="Calibri" w:hAnsi="Calibri"/>
          <w:color w:val="3D4347"/>
          <w:sz w:val="20"/>
          <w:szCs w:val="20"/>
        </w:rPr>
        <w:t xml:space="preserve">2.  Objectives</w:t>
      </w:r>
    </w:p>
    <w:p>
      <w:pPr>
        <w:spacing w:after="40"/>
      </w:pPr>
      <w:r>
        <w:rPr>
          <w:rFonts w:ascii="Calibri" w:cs="Calibri" w:eastAsia="Calibri" w:hAnsi="Calibri"/>
          <w:color w:val="3D4347"/>
          <w:sz w:val="20"/>
          <w:szCs w:val="20"/>
        </w:rPr>
        <w:t xml:space="preserve">3.  User Roles and Permissions</w:t>
      </w:r>
    </w:p>
    <w:p>
      <w:pPr>
        <w:spacing w:after="40"/>
      </w:pPr>
      <w:r>
        <w:rPr>
          <w:rFonts w:ascii="Calibri" w:cs="Calibri" w:eastAsia="Calibri" w:hAnsi="Calibri"/>
          <w:color w:val="3D4347"/>
          <w:sz w:val="20"/>
          <w:szCs w:val="20"/>
        </w:rPr>
        <w:t xml:space="preserve">4.  Core Data Model</w:t>
      </w:r>
    </w:p>
    <w:p>
      <w:pPr>
        <w:spacing w:after="40"/>
      </w:pPr>
      <w:r>
        <w:rPr>
          <w:rFonts w:ascii="Calibri" w:cs="Calibri" w:eastAsia="Calibri" w:hAnsi="Calibri"/>
          <w:color w:val="3D4347"/>
          <w:sz w:val="20"/>
          <w:szCs w:val="20"/>
        </w:rPr>
        <w:t xml:space="preserve">5.  Features and Functional Requirements</w:t>
      </w:r>
    </w:p>
    <w:p>
      <w:pPr>
        <w:spacing w:after="40"/>
      </w:pPr>
      <w:r>
        <w:rPr>
          <w:rFonts w:ascii="Calibri" w:cs="Calibri" w:eastAsia="Calibri" w:hAnsi="Calibri"/>
          <w:color w:val="3D4347"/>
          <w:sz w:val="20"/>
          <w:szCs w:val="20"/>
        </w:rPr>
        <w:t xml:space="preserve">6.  Notification and Escalation System</w:t>
      </w:r>
    </w:p>
    <w:p>
      <w:pPr>
        <w:spacing w:after="40"/>
      </w:pPr>
      <w:r>
        <w:rPr>
          <w:rFonts w:ascii="Calibri" w:cs="Calibri" w:eastAsia="Calibri" w:hAnsi="Calibri"/>
          <w:color w:val="3D4347"/>
          <w:sz w:val="20"/>
          <w:szCs w:val="20"/>
        </w:rPr>
        <w:t xml:space="preserve">7.  Reporting and Analytics</w:t>
      </w:r>
    </w:p>
    <w:p>
      <w:pPr>
        <w:spacing w:after="40"/>
      </w:pPr>
      <w:r>
        <w:rPr>
          <w:rFonts w:ascii="Calibri" w:cs="Calibri" w:eastAsia="Calibri" w:hAnsi="Calibri"/>
          <w:color w:val="3D4347"/>
          <w:sz w:val="20"/>
          <w:szCs w:val="20"/>
        </w:rPr>
        <w:t xml:space="preserve">8.  Audit Trails and History</w:t>
      </w:r>
    </w:p>
    <w:p>
      <w:pPr>
        <w:spacing w:after="40"/>
      </w:pPr>
      <w:r>
        <w:rPr>
          <w:rFonts w:ascii="Calibri" w:cs="Calibri" w:eastAsia="Calibri" w:hAnsi="Calibri"/>
          <w:color w:val="3D4347"/>
          <w:sz w:val="20"/>
          <w:szCs w:val="20"/>
        </w:rPr>
        <w:t xml:space="preserve">9.  Assumptions and Constraints</w:t>
      </w:r>
    </w:p>
    <w:p>
      <w:pPr>
        <w:spacing w:after="40"/>
      </w:pPr>
      <w:r>
        <w:rPr>
          <w:rFonts w:ascii="Calibri" w:cs="Calibri" w:eastAsia="Calibri" w:hAnsi="Calibri"/>
          <w:color w:val="3D4347"/>
          <w:sz w:val="20"/>
          <w:szCs w:val="20"/>
        </w:rPr>
        <w:t xml:space="preserve">10. Future Scope</w:t>
      </w:r>
    </w:p>
    <w:p>
      <w:r>
        <w:br w:type="page"/>
      </w:r>
    </w:p>
    <w:p>
      <w:pPr>
        <w:pStyle w:val="Heading1"/>
        <w:pBdr>
          <w:bottom w:val="single" w:color="D6D3C8" w:sz="1" w:space="4"/>
        </w:pBdr>
        <w:spacing w:after="120" w:before="400"/>
      </w:pPr>
      <w:r>
        <w:rPr>
          <w:rFonts w:ascii="Georgia" w:cs="Georgia" w:eastAsia="Georgia" w:hAnsi="Georgia"/>
          <w:b w:val="false"/>
          <w:bCs w:val="false"/>
          <w:color w:val="1A1D1F"/>
          <w:sz w:val="32"/>
          <w:szCs w:val="32"/>
        </w:rPr>
        <w:t xml:space="preserve">1. Problem Statement</w:t>
      </w:r>
    </w:p>
    <w:p>
      <w:pPr>
        <w:spacing w:after="120" w:line="276"/>
      </w:pPr>
      <w:r>
        <w:rPr>
          <w:rFonts w:ascii="Calibri" w:cs="Calibri" w:eastAsia="Calibri" w:hAnsi="Calibri"/>
          <w:color w:val="3D4347"/>
          <w:sz w:val="20"/>
          <w:szCs w:val="20"/>
        </w:rPr>
        <w:t xml:space="preserve">GrabOn operates an affiliate marketing platform that partners with hundreds of online merchants including Nike, Flipkart, Myntra, and MakeMyTrip. The Customer Success (CS) team is responsible for tracking the performance of each merchant relationship on a recurring basis: how many clicks GrabOn sent, how many converted to sales, and how much revenue was generated.</w:t>
      </w:r>
    </w:p>
    <w:p>
      <w:pPr>
        <w:spacing w:after="120" w:line="276"/>
      </w:pPr>
      <w:r>
        <w:rPr>
          <w:rFonts w:ascii="Calibri" w:cs="Calibri" w:eastAsia="Calibri" w:hAnsi="Calibri"/>
          <w:color w:val="3D4347"/>
          <w:sz w:val="20"/>
          <w:szCs w:val="20"/>
        </w:rPr>
        <w:t xml:space="preserve">Before CR Portal, this work was managed through spreadsheets and informal tracking. The core problems were:</w:t>
      </w:r>
    </w:p>
    <w:p>
      <w:pPr>
        <w:pStyle w:val="ListParagraph"/>
        <w:numPr>
          <w:ilvl w:val="0"/>
          <w:numId w:val="1"/>
        </w:numPr>
        <w:spacing w:after="60" w:line="276"/>
      </w:pPr>
      <w:r>
        <w:rPr>
          <w:rFonts w:ascii="Calibri" w:cs="Calibri" w:eastAsia="Calibri" w:hAnsi="Calibri"/>
          <w:b/>
          <w:bCs/>
          <w:color w:val="1A1D1F"/>
          <w:sz w:val="20"/>
          <w:szCs w:val="20"/>
        </w:rPr>
        <w:t xml:space="preserve">No single source of truth. </w:t>
      </w:r>
      <w:r>
        <w:rPr>
          <w:rFonts w:ascii="Calibri" w:cs="Calibri" w:eastAsia="Calibri" w:hAnsi="Calibri"/>
          <w:color w:val="3D4347"/>
          <w:sz w:val="20"/>
          <w:szCs w:val="20"/>
        </w:rPr>
        <w:t xml:space="preserve">Performance data lived in scattered spreadsheets with no version control, no audit trail, and no accountability when data was late or missing.</w:t>
      </w:r>
    </w:p>
    <w:p>
      <w:pPr>
        <w:pStyle w:val="ListParagraph"/>
        <w:numPr>
          <w:ilvl w:val="0"/>
          <w:numId w:val="1"/>
        </w:numPr>
        <w:spacing w:after="60" w:line="276"/>
      </w:pPr>
      <w:r>
        <w:rPr>
          <w:rFonts w:ascii="Calibri" w:cs="Calibri" w:eastAsia="Calibri" w:hAnsi="Calibri"/>
          <w:b/>
          <w:bCs/>
          <w:color w:val="1A1D1F"/>
          <w:sz w:val="20"/>
          <w:szCs w:val="20"/>
        </w:rPr>
        <w:t xml:space="preserve">No escalation mechanism. </w:t>
      </w:r>
      <w:r>
        <w:rPr>
          <w:rFonts w:ascii="Calibri" w:cs="Calibri" w:eastAsia="Calibri" w:hAnsi="Calibri"/>
          <w:color w:val="3D4347"/>
          <w:sz w:val="20"/>
          <w:szCs w:val="20"/>
        </w:rPr>
        <w:t xml:space="preserve">When a handler fell behind on entering data, there was no systematic way to detect or escalate the gap. Managers discovered missing data only during periodic reviews.</w:t>
      </w:r>
    </w:p>
    <w:p>
      <w:pPr>
        <w:pStyle w:val="ListParagraph"/>
        <w:numPr>
          <w:ilvl w:val="0"/>
          <w:numId w:val="1"/>
        </w:numPr>
        <w:spacing w:after="60" w:line="276"/>
      </w:pPr>
      <w:r>
        <w:rPr>
          <w:rFonts w:ascii="Calibri" w:cs="Calibri" w:eastAsia="Calibri" w:hAnsi="Calibri"/>
          <w:b/>
          <w:bCs/>
          <w:color w:val="1A1D1F"/>
          <w:sz w:val="20"/>
          <w:szCs w:val="20"/>
        </w:rPr>
        <w:t xml:space="preserve">No visibility across the team. </w:t>
      </w:r>
      <w:r>
        <w:rPr>
          <w:rFonts w:ascii="Calibri" w:cs="Calibri" w:eastAsia="Calibri" w:hAnsi="Calibri"/>
          <w:color w:val="3D4347"/>
          <w:sz w:val="20"/>
          <w:szCs w:val="20"/>
        </w:rPr>
        <w:t xml:space="preserve">Each handler tracked their own merchants independently. The Manager and Founders Office had no real-time portfolio-level view of performance trends.</w:t>
      </w:r>
    </w:p>
    <w:p>
      <w:pPr>
        <w:pStyle w:val="ListParagraph"/>
        <w:numPr>
          <w:ilvl w:val="0"/>
          <w:numId w:val="1"/>
        </w:numPr>
        <w:spacing w:after="60" w:line="276"/>
      </w:pPr>
      <w:r>
        <w:rPr>
          <w:rFonts w:ascii="Calibri" w:cs="Calibri" w:eastAsia="Calibri" w:hAnsi="Calibri"/>
          <w:b/>
          <w:bCs/>
          <w:color w:val="1A1D1F"/>
          <w:sz w:val="20"/>
          <w:szCs w:val="20"/>
        </w:rPr>
        <w:t xml:space="preserve">No structured metadata management. </w:t>
      </w:r>
      <w:r>
        <w:rPr>
          <w:rFonts w:ascii="Calibri" w:cs="Calibri" w:eastAsia="Calibri" w:hAnsi="Calibri"/>
          <w:color w:val="3D4347"/>
          <w:sz w:val="20"/>
          <w:szCs w:val="20"/>
        </w:rPr>
        <w:t xml:space="preserve">Changes to a merchant's reporting cadence, deal type, payout terms, or category were ad hoc and untracked.</w:t>
      </w:r>
    </w:p>
    <w:p>
      <w:pPr>
        <w:pStyle w:val="ListParagraph"/>
        <w:numPr>
          <w:ilvl w:val="0"/>
          <w:numId w:val="1"/>
        </w:numPr>
        <w:spacing w:after="60" w:line="276"/>
      </w:pPr>
      <w:r>
        <w:rPr>
          <w:rFonts w:ascii="Calibri" w:cs="Calibri" w:eastAsia="Calibri" w:hAnsi="Calibri"/>
          <w:b/>
          <w:bCs/>
          <w:color w:val="1A1D1F"/>
          <w:sz w:val="20"/>
          <w:szCs w:val="20"/>
        </w:rPr>
        <w:t xml:space="preserve">Manual cross-team coordination. </w:t>
      </w:r>
      <w:r>
        <w:rPr>
          <w:rFonts w:ascii="Calibri" w:cs="Calibri" w:eastAsia="Calibri" w:hAnsi="Calibri"/>
          <w:color w:val="3D4347"/>
          <w:sz w:val="20"/>
          <w:szCs w:val="20"/>
        </w:rPr>
        <w:t xml:space="preserve">When a CS handler needed the Delivery team to add their own numbers for a shared merchant, the request was verbal or chat-based with no queue or tracking.</w:t>
      </w:r>
    </w:p>
    <w:p>
      <w:pPr>
        <w:spacing w:after="120" w:line="276"/>
      </w:pPr>
      <w:r>
        <w:rPr>
          <w:rFonts w:ascii="Calibri" w:cs="Calibri" w:eastAsia="Calibri" w:hAnsi="Calibri"/>
          <w:color w:val="3D4347"/>
          <w:sz w:val="20"/>
          <w:szCs w:val="20"/>
        </w:rPr>
        <w:t xml:space="preserve">CR Portal replaces this with a purpose-built internal tool that makes data entry, oversight, escalation, and analysis one workflow.</w:t>
      </w:r>
    </w:p>
    <w:p>
      <w:pPr>
        <w:pStyle w:val="Heading1"/>
        <w:pBdr>
          <w:bottom w:val="single" w:color="D6D3C8" w:sz="1" w:space="4"/>
        </w:pBdr>
        <w:spacing w:after="120" w:before="400"/>
      </w:pPr>
      <w:r>
        <w:rPr>
          <w:rFonts w:ascii="Georgia" w:cs="Georgia" w:eastAsia="Georgia" w:hAnsi="Georgia"/>
          <w:b w:val="false"/>
          <w:bCs w:val="false"/>
          <w:color w:val="1A1D1F"/>
          <w:sz w:val="32"/>
          <w:szCs w:val="32"/>
        </w:rPr>
        <w:t xml:space="preserve">2. Objectives</w:t>
      </w:r>
    </w:p>
    <w:p>
      <w:pPr>
        <w:pStyle w:val="ListParagraph"/>
        <w:numPr>
          <w:ilvl w:val="0"/>
          <w:numId w:val="2"/>
        </w:numPr>
        <w:spacing w:after="80" w:line="276"/>
      </w:pPr>
      <w:r>
        <w:rPr>
          <w:rFonts w:ascii="Calibri" w:cs="Calibri" w:eastAsia="Calibri" w:hAnsi="Calibri"/>
          <w:b/>
          <w:bCs/>
          <w:color w:val="1A1D1F"/>
          <w:sz w:val="20"/>
          <w:szCs w:val="20"/>
        </w:rPr>
        <w:t xml:space="preserve">Centralize performance data entry </w:t>
      </w:r>
      <w:r>
        <w:rPr>
          <w:rFonts w:ascii="Calibri" w:cs="Calibri" w:eastAsia="Calibri" w:hAnsi="Calibri"/>
          <w:color w:val="3D4347"/>
          <w:sz w:val="20"/>
          <w:szCs w:val="20"/>
        </w:rPr>
        <w:t xml:space="preserve">for every merchant into one system with validation, auto-computed metrics, and structured audit trails.</w:t>
      </w:r>
    </w:p>
    <w:p>
      <w:pPr>
        <w:pStyle w:val="ListParagraph"/>
        <w:numPr>
          <w:ilvl w:val="0"/>
          <w:numId w:val="2"/>
        </w:numPr>
        <w:spacing w:after="80" w:line="276"/>
      </w:pPr>
      <w:r>
        <w:rPr>
          <w:rFonts w:ascii="Calibri" w:cs="Calibri" w:eastAsia="Calibri" w:hAnsi="Calibri"/>
          <w:b/>
          <w:bCs/>
          <w:color w:val="1A1D1F"/>
          <w:sz w:val="20"/>
          <w:szCs w:val="20"/>
        </w:rPr>
        <w:t xml:space="preserve">Automate overdue detection and escalation </w:t>
      </w:r>
      <w:r>
        <w:rPr>
          <w:rFonts w:ascii="Calibri" w:cs="Calibri" w:eastAsia="Calibri" w:hAnsi="Calibri"/>
          <w:color w:val="3D4347"/>
          <w:sz w:val="20"/>
          <w:szCs w:val="20"/>
        </w:rPr>
        <w:t xml:space="preserve">so that missing data is surfaced to the right person at the right time, with a reason-submission and approval workflow.</w:t>
      </w:r>
    </w:p>
    <w:p>
      <w:pPr>
        <w:pStyle w:val="ListParagraph"/>
        <w:numPr>
          <w:ilvl w:val="0"/>
          <w:numId w:val="2"/>
        </w:numPr>
        <w:spacing w:after="80" w:line="276"/>
      </w:pPr>
      <w:r>
        <w:rPr>
          <w:rFonts w:ascii="Calibri" w:cs="Calibri" w:eastAsia="Calibri" w:hAnsi="Calibri"/>
          <w:b/>
          <w:bCs/>
          <w:color w:val="1A1D1F"/>
          <w:sz w:val="20"/>
          <w:szCs w:val="20"/>
        </w:rPr>
        <w:t xml:space="preserve">Provide real-time analytics </w:t>
      </w:r>
      <w:r>
        <w:rPr>
          <w:rFonts w:ascii="Calibri" w:cs="Calibri" w:eastAsia="Calibri" w:hAnsi="Calibri"/>
          <w:color w:val="3D4347"/>
          <w:sz w:val="20"/>
          <w:szCs w:val="20"/>
        </w:rPr>
        <w:t xml:space="preserve">with month-over-month trends, per-merchant breakdowns, and period-over-period comparisons across all key metrics.</w:t>
      </w:r>
    </w:p>
    <w:p>
      <w:pPr>
        <w:pStyle w:val="ListParagraph"/>
        <w:numPr>
          <w:ilvl w:val="0"/>
          <w:numId w:val="2"/>
        </w:numPr>
        <w:spacing w:after="80" w:line="276"/>
      </w:pPr>
      <w:r>
        <w:rPr>
          <w:rFonts w:ascii="Calibri" w:cs="Calibri" w:eastAsia="Calibri" w:hAnsi="Calibri"/>
          <w:b/>
          <w:bCs/>
          <w:color w:val="1A1D1F"/>
          <w:sz w:val="20"/>
          <w:szCs w:val="20"/>
        </w:rPr>
        <w:t xml:space="preserve">Track every change </w:t>
      </w:r>
      <w:r>
        <w:rPr>
          <w:rFonts w:ascii="Calibri" w:cs="Calibri" w:eastAsia="Calibri" w:hAnsi="Calibri"/>
          <w:color w:val="3D4347"/>
          <w:sz w:val="20"/>
          <w:szCs w:val="20"/>
        </w:rPr>
        <w:t xml:space="preserve">to both performance data and merchant metadata with a complete, exportable audit log.</w:t>
      </w:r>
    </w:p>
    <w:p>
      <w:pPr>
        <w:pStyle w:val="ListParagraph"/>
        <w:numPr>
          <w:ilvl w:val="0"/>
          <w:numId w:val="2"/>
        </w:numPr>
        <w:spacing w:after="80" w:line="276"/>
      </w:pPr>
      <w:r>
        <w:rPr>
          <w:rFonts w:ascii="Calibri" w:cs="Calibri" w:eastAsia="Calibri" w:hAnsi="Calibri"/>
          <w:b/>
          <w:bCs/>
          <w:color w:val="1A1D1F"/>
          <w:sz w:val="20"/>
          <w:szCs w:val="20"/>
        </w:rPr>
        <w:t xml:space="preserve">Enable cross-functional coordination </w:t>
      </w:r>
      <w:r>
        <w:rPr>
          <w:rFonts w:ascii="Calibri" w:cs="Calibri" w:eastAsia="Calibri" w:hAnsi="Calibri"/>
          <w:color w:val="3D4347"/>
          <w:sz w:val="20"/>
          <w:szCs w:val="20"/>
        </w:rPr>
        <w:t xml:space="preserve">between CS handlers and the Delivery team through a structured request queue.</w:t>
      </w:r>
    </w:p>
    <w:p>
      <w:pPr>
        <w:pStyle w:val="ListParagraph"/>
        <w:numPr>
          <w:ilvl w:val="0"/>
          <w:numId w:val="2"/>
        </w:numPr>
        <w:spacing w:after="80" w:line="276"/>
      </w:pPr>
      <w:r>
        <w:rPr>
          <w:rFonts w:ascii="Calibri" w:cs="Calibri" w:eastAsia="Calibri" w:hAnsi="Calibri"/>
          <w:b/>
          <w:bCs/>
          <w:color w:val="1A1D1F"/>
          <w:sz w:val="20"/>
          <w:szCs w:val="20"/>
        </w:rPr>
        <w:t xml:space="preserve">Support role-based access </w:t>
      </w:r>
      <w:r>
        <w:rPr>
          <w:rFonts w:ascii="Calibri" w:cs="Calibri" w:eastAsia="Calibri" w:hAnsi="Calibri"/>
          <w:color w:val="3D4347"/>
          <w:sz w:val="20"/>
          <w:szCs w:val="20"/>
        </w:rPr>
        <w:t xml:space="preserve">so handlers see only their own brands, while Managers and Founders Office see the full portfolio.</w:t>
      </w:r>
    </w:p>
    <w:p>
      <w:pPr>
        <w:pStyle w:val="Heading1"/>
        <w:pBdr>
          <w:bottom w:val="single" w:color="D6D3C8" w:sz="1" w:space="4"/>
        </w:pBdr>
        <w:spacing w:after="120" w:before="400"/>
      </w:pPr>
      <w:r>
        <w:rPr>
          <w:rFonts w:ascii="Georgia" w:cs="Georgia" w:eastAsia="Georgia" w:hAnsi="Georgia"/>
          <w:b w:val="false"/>
          <w:bCs w:val="false"/>
          <w:color w:val="1A1D1F"/>
          <w:sz w:val="32"/>
          <w:szCs w:val="32"/>
        </w:rPr>
        <w:t xml:space="preserve">3. User Roles and Permissions</w:t>
      </w:r>
    </w:p>
    <w:p>
      <w:pPr>
        <w:spacing w:after="120" w:line="276"/>
      </w:pPr>
      <w:r>
        <w:rPr>
          <w:rFonts w:ascii="Calibri" w:cs="Calibri" w:eastAsia="Calibri" w:hAnsi="Calibri"/>
          <w:color w:val="3D4347"/>
          <w:sz w:val="20"/>
          <w:szCs w:val="20"/>
        </w:rPr>
        <w:t xml:space="preserve">CR Portal uses a role-based model. In v1, users select their identity from a dropdown (authentication is planned for v2). The system recognizes four role types:</w:t>
      </w:r>
    </w:p>
    <w:p>
      <w:pPr>
        <w:spacing w:after="40" w:before="160"/>
      </w:pPr>
      <w:r>
        <w:rPr>
          <w:rFonts w:ascii="Calibri" w:cs="Calibri" w:eastAsia="Calibri" w:hAnsi="Calibri"/>
          <w:b/>
          <w:bCs/>
          <w:color w:val="1A1D1F"/>
          <w:sz w:val="20"/>
          <w:szCs w:val="20"/>
        </w:rPr>
        <w:t xml:space="preserve">Handler</w:t>
      </w:r>
      <w:r>
        <w:rPr>
          <w:rFonts w:ascii="Calibri" w:cs="Calibri" w:eastAsia="Calibri" w:hAnsi="Calibri"/>
          <w:color w:val="3D4347"/>
          <w:sz w:val="20"/>
          <w:szCs w:val="20"/>
        </w:rPr>
        <w:t xml:space="preserve"> (Swati, Yamini, Meena)</w:t>
      </w:r>
    </w:p>
    <w:p>
      <w:pPr>
        <w:spacing w:after="120"/>
        <w:ind w:left="200"/>
      </w:pPr>
      <w:r>
        <w:rPr>
          <w:rFonts w:ascii="Calibri" w:cs="Calibri" w:eastAsia="Calibri" w:hAnsi="Calibri"/>
          <w:color w:val="3D4347"/>
          <w:sz w:val="20"/>
          <w:szCs w:val="20"/>
        </w:rPr>
        <w:t xml:space="preserve">Owns a set of merchants. Enters performance data. Edits their own entries. Submits reasons for overdue data. Cannot delete entries.</w:t>
      </w:r>
    </w:p>
    <w:p>
      <w:pPr>
        <w:spacing w:after="40"/>
      </w:pPr>
      <w:r>
        <w:rPr>
          <w:rFonts w:ascii="Calibri" w:cs="Calibri" w:eastAsia="Calibri" w:hAnsi="Calibri"/>
          <w:b/>
          <w:bCs/>
          <w:color w:val="1A1D1F"/>
          <w:sz w:val="20"/>
          <w:szCs w:val="20"/>
        </w:rPr>
        <w:t xml:space="preserve">Manager</w:t>
      </w:r>
    </w:p>
    <w:p>
      <w:pPr>
        <w:spacing w:after="120"/>
        <w:ind w:left="200"/>
      </w:pPr>
      <w:r>
        <w:rPr>
          <w:rFonts w:ascii="Calibri" w:cs="Calibri" w:eastAsia="Calibri" w:hAnsi="Calibri"/>
          <w:color w:val="3D4347"/>
          <w:sz w:val="20"/>
          <w:szCs w:val="20"/>
        </w:rPr>
        <w:t xml:space="preserve">Sees all handlers' data. Approves or rejects reasons. Can delete any entry. Transfers merchants between handlers. Sees stage 2+ notifications.</w:t>
      </w:r>
    </w:p>
    <w:p>
      <w:pPr>
        <w:spacing w:after="40"/>
      </w:pPr>
      <w:r>
        <w:rPr>
          <w:rFonts w:ascii="Calibri" w:cs="Calibri" w:eastAsia="Calibri" w:hAnsi="Calibri"/>
          <w:b/>
          <w:bCs/>
          <w:color w:val="1A1D1F"/>
          <w:sz w:val="20"/>
          <w:szCs w:val="20"/>
        </w:rPr>
        <w:t xml:space="preserve">Founders Office</w:t>
      </w:r>
    </w:p>
    <w:p>
      <w:pPr>
        <w:spacing w:after="120"/>
        <w:ind w:left="200"/>
      </w:pPr>
      <w:r>
        <w:rPr>
          <w:rFonts w:ascii="Calibri" w:cs="Calibri" w:eastAsia="Calibri" w:hAnsi="Calibri"/>
          <w:color w:val="3D4347"/>
          <w:sz w:val="20"/>
          <w:szCs w:val="20"/>
        </w:rPr>
        <w:t xml:space="preserve">Same privileges as Manager. Additionally sees stage 3+ notifications (highest escalation). Full access to all management capabilities.</w:t>
      </w:r>
    </w:p>
    <w:p>
      <w:pPr>
        <w:spacing w:after="40"/>
      </w:pPr>
      <w:r>
        <w:rPr>
          <w:rFonts w:ascii="Calibri" w:cs="Calibri" w:eastAsia="Calibri" w:hAnsi="Calibri"/>
          <w:b/>
          <w:bCs/>
          <w:color w:val="1A1D1F"/>
          <w:sz w:val="20"/>
          <w:szCs w:val="20"/>
        </w:rPr>
        <w:t xml:space="preserve">Delivery</w:t>
      </w:r>
    </w:p>
    <w:p>
      <w:pPr>
        <w:spacing w:after="160"/>
        <w:ind w:left="200"/>
      </w:pPr>
      <w:r>
        <w:rPr>
          <w:rFonts w:ascii="Calibri" w:cs="Calibri" w:eastAsia="Calibri" w:hAnsi="Calibri"/>
          <w:color w:val="3D4347"/>
          <w:sz w:val="20"/>
          <w:szCs w:val="20"/>
        </w:rPr>
        <w:t xml:space="preserve">A focused single-tab role. Sees pending delivery requests. Enters their own performance numbers alongside the CS team's data. Edits or deletes only their own delivery data.</w:t>
      </w:r>
    </w:p>
    <w:p>
      <w:pPr>
        <w:pStyle w:val="Heading2"/>
        <w:spacing w:after="120" w:before="240"/>
      </w:pPr>
      <w:r>
        <w:rPr>
          <w:rFonts w:ascii="Georgia" w:cs="Georgia" w:eastAsia="Georgia" w:hAnsi="Georgia"/>
          <w:b w:val="false"/>
          <w:bCs w:val="false"/>
          <w:color w:val="1A1D1F"/>
          <w:sz w:val="26"/>
          <w:szCs w:val="26"/>
        </w:rPr>
        <w:t xml:space="preserve">Permission Matrix</w:t>
      </w:r>
    </w:p>
    <w:tbl>
      <w:tblPr>
        <w:tblW w:type="dxa" w:w="9362"/>
        <w:tblBorders>
          <w:top w:val="single" w:color="auto" w:sz="4"/>
          <w:left w:val="single" w:color="auto" w:sz="4"/>
          <w:bottom w:val="single" w:color="auto" w:sz="4"/>
          <w:right w:val="single" w:color="auto" w:sz="4"/>
          <w:insideH w:val="single" w:color="auto" w:sz="4"/>
          <w:insideV w:val="single" w:color="auto" w:sz="4"/>
        </w:tblBorders>
      </w:tblPr>
      <w:tblGrid>
        <w:gridCol w:w="2605"/>
        <w:gridCol w:w="1791"/>
        <w:gridCol w:w="1384"/>
        <w:gridCol w:w="1791"/>
        <w:gridCol w:w="1791"/>
      </w:tblGrid>
      <w:tr>
        <w:trPr>
          <w:tblHeader/>
        </w:trPr>
        <w:tc>
          <w:tcPr>
            <w:tcW w:type="dxa" w:w="2605"/>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Capability</w:t>
            </w:r>
          </w:p>
        </w:tc>
        <w:tc>
          <w:tcPr>
            <w:tcW w:type="dxa" w:w="1791"/>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Handler</w:t>
            </w:r>
          </w:p>
        </w:tc>
        <w:tc>
          <w:tcPr>
            <w:tcW w:type="dxa" w:w="1384"/>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Manager</w:t>
            </w:r>
          </w:p>
        </w:tc>
        <w:tc>
          <w:tcPr>
            <w:tcW w:type="dxa" w:w="1791"/>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Founders Office</w:t>
            </w:r>
          </w:p>
        </w:tc>
        <w:tc>
          <w:tcPr>
            <w:tcW w:type="dxa" w:w="1791"/>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Delivery</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Enter performance data</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Own brands only</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All brands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All brands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Edit entries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Own entries only</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All</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All</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Delete entries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No</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Enter delivery data</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Pending requests</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Edit/delete delivery data</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Own data only</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Edit merchant metadata</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Submit overdue reason</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Own notifications</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Approve/reject reasons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No</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Transfer merchants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No</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View Data View tab</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View Merchant Info tab</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r>
      <w:tr>
        <w:tc>
          <w:tcPr>
            <w:tcW w:type="dxa" w:w="260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Add new merchants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3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Yes</w:t>
            </w:r>
          </w:p>
        </w:tc>
        <w:tc>
          <w:tcPr>
            <w:tcW w:type="dxa" w:w="1791"/>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N/A</w:t>
            </w:r>
          </w:p>
        </w:tc>
      </w:tr>
    </w:tbl>
    <w:p>
      <w:r>
        <w:br w:type="page"/>
      </w:r>
    </w:p>
    <w:p>
      <w:pPr>
        <w:pStyle w:val="Heading1"/>
        <w:pBdr>
          <w:bottom w:val="single" w:color="D6D3C8" w:sz="1" w:space="4"/>
        </w:pBdr>
        <w:spacing w:after="120" w:before="400"/>
      </w:pPr>
      <w:r>
        <w:rPr>
          <w:rFonts w:ascii="Georgia" w:cs="Georgia" w:eastAsia="Georgia" w:hAnsi="Georgia"/>
          <w:b w:val="false"/>
          <w:bCs w:val="false"/>
          <w:color w:val="1A1D1F"/>
          <w:sz w:val="32"/>
          <w:szCs w:val="32"/>
        </w:rPr>
        <w:t xml:space="preserve">4. Core Data Model</w:t>
      </w:r>
    </w:p>
    <w:p>
      <w:pPr>
        <w:pStyle w:val="Heading2"/>
        <w:spacing w:after="120" w:before="240"/>
      </w:pPr>
      <w:r>
        <w:rPr>
          <w:rFonts w:ascii="Georgia" w:cs="Georgia" w:eastAsia="Georgia" w:hAnsi="Georgia"/>
          <w:b w:val="false"/>
          <w:bCs w:val="false"/>
          <w:color w:val="1A1D1F"/>
          <w:sz w:val="26"/>
          <w:szCs w:val="26"/>
        </w:rPr>
        <w:t xml:space="preserve">The Conversion Pipeline</w:t>
      </w:r>
    </w:p>
    <w:p>
      <w:pPr>
        <w:spacing w:after="120" w:line="276"/>
      </w:pPr>
      <w:r>
        <w:rPr>
          <w:rFonts w:ascii="Calibri" w:cs="Calibri" w:eastAsia="Calibri" w:hAnsi="Calibri"/>
          <w:color w:val="3D4347"/>
          <w:sz w:val="20"/>
          <w:szCs w:val="20"/>
        </w:rPr>
        <w:t xml:space="preserve">Every merchant relationship is measured through a five-metric pipeline. The handler enters four values; the fifth (CR%) is auto-computed by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4"/>
        <w:gridCol w:w="435"/>
        <w:gridCol w:w="1524"/>
        <w:gridCol w:w="435"/>
        <w:gridCol w:w="1524"/>
        <w:gridCol w:w="435"/>
        <w:gridCol w:w="1524"/>
        <w:gridCol w:w="435"/>
        <w:gridCol w:w="1524"/>
      </w:tblGrid>
      <w:tr>
        <w:tc>
          <w:tcPr>
            <w:tcW w:type="dxa" w:w="1524"/>
            <w:tcBorders>
              <w:top w:val="none" w:color="FFFFFF" w:sz="0"/>
              <w:left w:val="none" w:color="FFFFFF" w:sz="0"/>
              <w:bottom w:val="none" w:color="FFFFFF" w:sz="0"/>
              <w:right w:val="none" w:color="FFFFFF" w:sz="0"/>
            </w:tcBorders>
            <w:shd w:fill="D8F0EB" w:color="auto" w:val="clear"/>
            <w:vAlign w:val="center"/>
          </w:tcPr>
          <w:p>
            <w:pPr>
              <w:spacing w:after="60" w:before="60"/>
              <w:jc w:val="center"/>
            </w:pPr>
            <w:r>
              <w:rPr>
                <w:rFonts w:ascii="Calibri" w:cs="Calibri" w:eastAsia="Calibri" w:hAnsi="Calibri"/>
                <w:b/>
                <w:bCs/>
                <w:color w:val="0E7C6B"/>
                <w:sz w:val="19"/>
                <w:szCs w:val="19"/>
              </w:rPr>
              <w:t xml:space="preserve">Clicks</w:t>
            </w:r>
          </w:p>
        </w:tc>
        <w:tc>
          <w:tcPr>
            <w:tcW w:type="dxa" w:w="435"/>
            <w:tcBorders>
              <w:top w:val="none" w:color="FFFFFF" w:sz="0"/>
              <w:left w:val="none" w:color="FFFFFF" w:sz="0"/>
              <w:bottom w:val="none" w:color="FFFFFF" w:sz="0"/>
              <w:right w:val="none" w:color="FFFFFF" w:sz="0"/>
            </w:tcBorders>
            <w:vAlign w:val="center"/>
          </w:tcPr>
          <w:p>
            <w:pPr>
              <w:spacing w:after="60" w:before="60"/>
              <w:jc w:val="center"/>
            </w:pPr>
            <w:r>
              <w:rPr>
                <w:rFonts w:ascii="Calibri" w:cs="Calibri" w:eastAsia="Calibri" w:hAnsi="Calibri"/>
                <w:color w:val="6B7280"/>
                <w:sz w:val="22"/>
                <w:szCs w:val="22"/>
              </w:rPr>
              <w:t xml:space="preserve">→</w:t>
            </w:r>
          </w:p>
        </w:tc>
        <w:tc>
          <w:tcPr>
            <w:tcW w:type="dxa" w:w="1524"/>
            <w:tcBorders>
              <w:top w:val="none" w:color="FFFFFF" w:sz="0"/>
              <w:left w:val="none" w:color="FFFFFF" w:sz="0"/>
              <w:bottom w:val="none" w:color="FFFFFF" w:sz="0"/>
              <w:right w:val="none" w:color="FFFFFF" w:sz="0"/>
            </w:tcBorders>
            <w:shd w:fill="D8F0EB" w:color="auto" w:val="clear"/>
            <w:vAlign w:val="center"/>
          </w:tcPr>
          <w:p>
            <w:pPr>
              <w:spacing w:after="60" w:before="60"/>
              <w:jc w:val="center"/>
            </w:pPr>
            <w:r>
              <w:rPr>
                <w:rFonts w:ascii="Calibri" w:cs="Calibri" w:eastAsia="Calibri" w:hAnsi="Calibri"/>
                <w:b/>
                <w:bCs/>
                <w:color w:val="0E7C6B"/>
                <w:sz w:val="19"/>
                <w:szCs w:val="19"/>
              </w:rPr>
              <w:t xml:space="preserve">Sales</w:t>
            </w:r>
          </w:p>
        </w:tc>
        <w:tc>
          <w:tcPr>
            <w:tcW w:type="dxa" w:w="435"/>
            <w:tcBorders>
              <w:top w:val="none" w:color="FFFFFF" w:sz="0"/>
              <w:left w:val="none" w:color="FFFFFF" w:sz="0"/>
              <w:bottom w:val="none" w:color="FFFFFF" w:sz="0"/>
              <w:right w:val="none" w:color="FFFFFF" w:sz="0"/>
            </w:tcBorders>
            <w:vAlign w:val="center"/>
          </w:tcPr>
          <w:p>
            <w:pPr>
              <w:spacing w:after="60" w:before="60"/>
              <w:jc w:val="center"/>
            </w:pPr>
            <w:r>
              <w:rPr>
                <w:rFonts w:ascii="Calibri" w:cs="Calibri" w:eastAsia="Calibri" w:hAnsi="Calibri"/>
                <w:color w:val="6B7280"/>
                <w:sz w:val="22"/>
                <w:szCs w:val="22"/>
              </w:rPr>
              <w:t xml:space="preserve">→</w:t>
            </w:r>
          </w:p>
        </w:tc>
        <w:tc>
          <w:tcPr>
            <w:tcW w:type="dxa" w:w="1524"/>
            <w:tcBorders>
              <w:top w:val="none" w:color="FFFFFF" w:sz="0"/>
              <w:left w:val="none" w:color="FFFFFF" w:sz="0"/>
              <w:bottom w:val="none" w:color="FFFFFF" w:sz="0"/>
              <w:right w:val="none" w:color="FFFFFF" w:sz="0"/>
            </w:tcBorders>
            <w:shd w:fill="D8F0EB" w:color="auto" w:val="clear"/>
            <w:vAlign w:val="center"/>
          </w:tcPr>
          <w:p>
            <w:pPr>
              <w:spacing w:after="60" w:before="60"/>
              <w:jc w:val="center"/>
            </w:pPr>
            <w:r>
              <w:rPr>
                <w:rFonts w:ascii="Calibri" w:cs="Calibri" w:eastAsia="Calibri" w:hAnsi="Calibri"/>
                <w:b/>
                <w:bCs/>
                <w:color w:val="0E7C6B"/>
                <w:sz w:val="19"/>
                <w:szCs w:val="19"/>
              </w:rPr>
              <w:t xml:space="preserve">CR %</w:t>
            </w:r>
          </w:p>
        </w:tc>
        <w:tc>
          <w:tcPr>
            <w:tcW w:type="dxa" w:w="435"/>
            <w:tcBorders>
              <w:top w:val="none" w:color="FFFFFF" w:sz="0"/>
              <w:left w:val="none" w:color="FFFFFF" w:sz="0"/>
              <w:bottom w:val="none" w:color="FFFFFF" w:sz="0"/>
              <w:right w:val="none" w:color="FFFFFF" w:sz="0"/>
            </w:tcBorders>
            <w:vAlign w:val="center"/>
          </w:tcPr>
          <w:p>
            <w:pPr>
              <w:spacing w:after="60" w:before="60"/>
              <w:jc w:val="center"/>
            </w:pPr>
            <w:r>
              <w:rPr>
                <w:rFonts w:ascii="Calibri" w:cs="Calibri" w:eastAsia="Calibri" w:hAnsi="Calibri"/>
                <w:color w:val="6B7280"/>
                <w:sz w:val="22"/>
                <w:szCs w:val="22"/>
              </w:rPr>
              <w:t xml:space="preserve">→</w:t>
            </w:r>
          </w:p>
        </w:tc>
        <w:tc>
          <w:tcPr>
            <w:tcW w:type="dxa" w:w="1524"/>
            <w:tcBorders>
              <w:top w:val="none" w:color="FFFFFF" w:sz="0"/>
              <w:left w:val="none" w:color="FFFFFF" w:sz="0"/>
              <w:bottom w:val="none" w:color="FFFFFF" w:sz="0"/>
              <w:right w:val="none" w:color="FFFFFF" w:sz="0"/>
            </w:tcBorders>
            <w:shd w:fill="D8F0EB" w:color="auto" w:val="clear"/>
            <w:vAlign w:val="center"/>
          </w:tcPr>
          <w:p>
            <w:pPr>
              <w:spacing w:after="60" w:before="60"/>
              <w:jc w:val="center"/>
            </w:pPr>
            <w:r>
              <w:rPr>
                <w:rFonts w:ascii="Calibri" w:cs="Calibri" w:eastAsia="Calibri" w:hAnsi="Calibri"/>
                <w:b/>
                <w:bCs/>
                <w:color w:val="0E7C6B"/>
                <w:sz w:val="19"/>
                <w:szCs w:val="19"/>
              </w:rPr>
              <w:t xml:space="preserve">GMV</w:t>
            </w:r>
          </w:p>
        </w:tc>
        <w:tc>
          <w:tcPr>
            <w:tcW w:type="dxa" w:w="435"/>
            <w:tcBorders>
              <w:top w:val="none" w:color="FFFFFF" w:sz="0"/>
              <w:left w:val="none" w:color="FFFFFF" w:sz="0"/>
              <w:bottom w:val="none" w:color="FFFFFF" w:sz="0"/>
              <w:right w:val="none" w:color="FFFFFF" w:sz="0"/>
            </w:tcBorders>
            <w:vAlign w:val="center"/>
          </w:tcPr>
          <w:p>
            <w:pPr>
              <w:spacing w:after="60" w:before="60"/>
              <w:jc w:val="center"/>
            </w:pPr>
            <w:r>
              <w:rPr>
                <w:rFonts w:ascii="Calibri" w:cs="Calibri" w:eastAsia="Calibri" w:hAnsi="Calibri"/>
                <w:color w:val="6B7280"/>
                <w:sz w:val="22"/>
                <w:szCs w:val="22"/>
              </w:rPr>
              <w:t xml:space="preserve">→</w:t>
            </w:r>
          </w:p>
        </w:tc>
        <w:tc>
          <w:tcPr>
            <w:tcW w:type="dxa" w:w="1524"/>
            <w:tcBorders>
              <w:top w:val="none" w:color="FFFFFF" w:sz="0"/>
              <w:left w:val="none" w:color="FFFFFF" w:sz="0"/>
              <w:bottom w:val="none" w:color="FFFFFF" w:sz="0"/>
              <w:right w:val="none" w:color="FFFFFF" w:sz="0"/>
            </w:tcBorders>
            <w:shd w:fill="D8F0EB" w:color="auto" w:val="clear"/>
            <w:vAlign w:val="center"/>
          </w:tcPr>
          <w:p>
            <w:pPr>
              <w:spacing w:after="60" w:before="60"/>
              <w:jc w:val="center"/>
            </w:pPr>
            <w:r>
              <w:rPr>
                <w:rFonts w:ascii="Calibri" w:cs="Calibri" w:eastAsia="Calibri" w:hAnsi="Calibri"/>
                <w:b/>
                <w:bCs/>
                <w:color w:val="0E7C6B"/>
                <w:sz w:val="19"/>
                <w:szCs w:val="19"/>
              </w:rPr>
              <w:t xml:space="preserve">Revenue</w:t>
            </w:r>
          </w:p>
        </w:tc>
      </w:tr>
    </w:tbl>
    <w:p>
      <w:pPr>
        <w:spacing w:after="80"/>
      </w:pPr>
    </w:p>
    <w:p>
      <w:pPr>
        <w:pBdr>
          <w:left w:val="single" w:color="0E7C6B" w:sz="6" w:space="8"/>
        </w:pBdr>
        <w:shd w:fill="F0EFEA" w:color="auto" w:val="clear"/>
        <w:spacing w:after="120" w:before="120"/>
        <w:ind w:left="400"/>
      </w:pPr>
      <w:r>
        <w:rPr>
          <w:rFonts w:ascii="Calibri" w:cs="Calibri" w:eastAsia="Calibri" w:hAnsi="Calibri"/>
          <w:b/>
          <w:bCs/>
          <w:color w:val="0E7C6B"/>
          <w:sz w:val="20"/>
          <w:szCs w:val="20"/>
        </w:rPr>
        <w:t xml:space="preserve">CR% = (Sales / Clicks) x 100   </w:t>
      </w:r>
      <w:r>
        <w:rPr>
          <w:rFonts w:ascii="Calibri" w:cs="Calibri" w:eastAsia="Calibri" w:hAnsi="Calibri"/>
          <w:color w:val="3D4347"/>
          <w:sz w:val="19"/>
          <w:szCs w:val="19"/>
        </w:rPr>
        <w:t xml:space="preserve">CR stands for Conversion Rate. It is the portal's namesake metric and is always derived, never manually entered.</w:t>
      </w:r>
    </w:p>
    <w:p>
      <w:pPr>
        <w:pStyle w:val="Heading2"/>
        <w:spacing w:after="120" w:before="240"/>
      </w:pPr>
      <w:r>
        <w:rPr>
          <w:rFonts w:ascii="Georgia" w:cs="Georgia" w:eastAsia="Georgia" w:hAnsi="Georgia"/>
          <w:b w:val="false"/>
          <w:bCs w:val="false"/>
          <w:color w:val="1A1D1F"/>
          <w:sz w:val="26"/>
          <w:szCs w:val="26"/>
        </w:rPr>
        <w:t xml:space="preserve">Merchant Properties</w:t>
      </w:r>
    </w:p>
    <w:p>
      <w:pPr>
        <w:spacing w:after="120" w:line="276"/>
      </w:pPr>
      <w:r>
        <w:rPr>
          <w:rFonts w:ascii="Calibri" w:cs="Calibri" w:eastAsia="Calibri" w:hAnsi="Calibri"/>
          <w:color w:val="3D4347"/>
          <w:sz w:val="20"/>
          <w:szCs w:val="20"/>
        </w:rPr>
        <w:t xml:space="preserve">Each merchant carries the following metadata, all of which is editable inline: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4680"/>
        <w:gridCol w:w="2925"/>
      </w:tblGrid>
      <w:tr>
        <w:trPr>
          <w:tblHeader/>
        </w:trPr>
        <w:tc>
          <w:tcPr>
            <w:tcW w:type="dxa" w:w="1755"/>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Field</w:t>
            </w:r>
          </w:p>
        </w:tc>
        <w:tc>
          <w:tcPr>
            <w:tcW w:type="dxa" w:w="4680"/>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Description</w:t>
            </w:r>
          </w:p>
        </w:tc>
        <w:tc>
          <w:tcPr>
            <w:tcW w:type="dxa" w:w="2925"/>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Examples</w:t>
            </w:r>
          </w:p>
        </w:tc>
      </w:tr>
      <w:tr>
        <w:tc>
          <w:tcPr>
            <w:tcW w:type="dxa" w:w="175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Merchant ID</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Unique numeric identifier (auto-generated or manually set)</w:t>
            </w:r>
          </w:p>
        </w:tc>
        <w:tc>
          <w:tcPr>
            <w:tcW w:type="dxa" w:w="292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8001, 9003</w:t>
            </w:r>
          </w:p>
        </w:tc>
      </w:tr>
      <w:tr>
        <w:tc>
          <w:tcPr>
            <w:tcW w:type="dxa" w:w="175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Merchant Name</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Brand name, unique across the system</w:t>
            </w:r>
          </w:p>
        </w:tc>
        <w:tc>
          <w:tcPr>
            <w:tcW w:type="dxa" w:w="292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Nike, Flipkart, Nykaa</w:t>
            </w:r>
          </w:p>
        </w:tc>
      </w:tr>
      <w:tr>
        <w:tc>
          <w:tcPr>
            <w:tcW w:type="dxa" w:w="175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Category</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Primary business category</w:t>
            </w:r>
          </w:p>
        </w:tc>
        <w:tc>
          <w:tcPr>
            <w:tcW w:type="dxa" w:w="292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Fashion, Travel, Electronics</w:t>
            </w:r>
          </w:p>
        </w:tc>
      </w:tr>
      <w:tr>
        <w:tc>
          <w:tcPr>
            <w:tcW w:type="dxa" w:w="175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Sub-category</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Optional secondary classification</w:t>
            </w:r>
          </w:p>
        </w:tc>
        <w:tc>
          <w:tcPr>
            <w:tcW w:type="dxa" w:w="292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Footwear, Flight, Audio</w:t>
            </w:r>
          </w:p>
        </w:tc>
      </w:tr>
      <w:tr>
        <w:tc>
          <w:tcPr>
            <w:tcW w:type="dxa" w:w="175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Affiliate ID / Name</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The affiliate network the merchant is tracked through</w:t>
            </w:r>
          </w:p>
        </w:tc>
        <w:tc>
          <w:tcPr>
            <w:tcW w:type="dxa" w:w="292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CJ, Admitad, Impact</w:t>
            </w:r>
          </w:p>
        </w:tc>
      </w:tr>
      <w:tr>
        <w:tc>
          <w:tcPr>
            <w:tcW w:type="dxa" w:w="175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Reporting</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Expected data submission cadence</w:t>
            </w:r>
          </w:p>
        </w:tc>
        <w:tc>
          <w:tcPr>
            <w:tcW w:type="dxa" w:w="292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Live daily, Weekly, Monthly, 60 days</w:t>
            </w:r>
          </w:p>
        </w:tc>
      </w:tr>
      <w:tr>
        <w:tc>
          <w:tcPr>
            <w:tcW w:type="dxa" w:w="175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Payout</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Commission terms</w:t>
            </w:r>
          </w:p>
        </w:tc>
        <w:tc>
          <w:tcPr>
            <w:tcW w:type="dxa" w:w="292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5%, Rs.150/signup</w:t>
            </w:r>
          </w:p>
        </w:tc>
      </w:tr>
      <w:tr>
        <w:tc>
          <w:tcPr>
            <w:tcW w:type="dxa" w:w="175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Deal Type</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How conversions are tracked</w:t>
            </w:r>
          </w:p>
        </w:tc>
        <w:tc>
          <w:tcPr>
            <w:tcW w:type="dxa" w:w="292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Coupon based, Link based</w:t>
            </w:r>
          </w:p>
        </w:tc>
      </w:tr>
      <w:tr>
        <w:tc>
          <w:tcPr>
            <w:tcW w:type="dxa" w:w="175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Revenue Status</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Whether the merchant currently generates revenue</w:t>
            </w:r>
          </w:p>
        </w:tc>
        <w:tc>
          <w:tcPr>
            <w:tcW w:type="dxa" w:w="292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Revenue, Non-revenue</w:t>
            </w:r>
          </w:p>
        </w:tc>
      </w:tr>
      <w:tr>
        <w:tc>
          <w:tcPr>
            <w:tcW w:type="dxa" w:w="175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Owner</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The handler responsible for this merchant</w:t>
            </w:r>
          </w:p>
        </w:tc>
        <w:tc>
          <w:tcPr>
            <w:tcW w:type="dxa" w:w="292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Swati, Yamini, Meena</w:t>
            </w:r>
          </w:p>
        </w:tc>
      </w:tr>
    </w:tbl>
    <w:p>
      <w:pPr>
        <w:pStyle w:val="Heading2"/>
        <w:spacing w:after="120" w:before="240"/>
      </w:pPr>
      <w:r>
        <w:rPr>
          <w:rFonts w:ascii="Georgia" w:cs="Georgia" w:eastAsia="Georgia" w:hAnsi="Georgia"/>
          <w:b w:val="false"/>
          <w:bCs w:val="false"/>
          <w:color w:val="1A1D1F"/>
          <w:sz w:val="26"/>
          <w:szCs w:val="26"/>
        </w:rPr>
        <w:t xml:space="preserve">Revenue Status Lifecycle</w:t>
      </w:r>
    </w:p>
    <w:p>
      <w:pPr>
        <w:spacing w:after="120" w:line="276"/>
      </w:pPr>
      <w:r>
        <w:rPr>
          <w:rFonts w:ascii="Calibri" w:cs="Calibri" w:eastAsia="Calibri" w:hAnsi="Calibri"/>
          <w:color w:val="3D4347"/>
          <w:sz w:val="20"/>
          <w:szCs w:val="20"/>
        </w:rPr>
        <w:t xml:space="preserve">A merchant's revenue status controls whether data is expected from it:</w:t>
      </w:r>
    </w:p>
    <w:p>
      <w:pPr>
        <w:pStyle w:val="ListParagraph"/>
        <w:numPr>
          <w:ilvl w:val="0"/>
          <w:numId w:val="1"/>
        </w:numPr>
        <w:spacing w:after="60" w:line="276"/>
      </w:pPr>
      <w:r>
        <w:rPr>
          <w:rFonts w:ascii="Calibri" w:cs="Calibri" w:eastAsia="Calibri" w:hAnsi="Calibri"/>
          <w:b/>
          <w:bCs/>
          <w:color w:val="1A1D1F"/>
          <w:sz w:val="20"/>
          <w:szCs w:val="20"/>
        </w:rPr>
        <w:t xml:space="preserve">Revenue </w:t>
      </w:r>
      <w:r>
        <w:rPr>
          <w:rFonts w:ascii="Calibri" w:cs="Calibri" w:eastAsia="Calibri" w:hAnsi="Calibri"/>
          <w:color w:val="3D4347"/>
          <w:sz w:val="20"/>
          <w:szCs w:val="20"/>
        </w:rPr>
        <w:t xml:space="preserve">(default): Data is expected at the reporting cadence. Missing data triggers overdue notifications and escalation.</w:t>
      </w:r>
    </w:p>
    <w:p>
      <w:pPr>
        <w:pStyle w:val="ListParagraph"/>
        <w:numPr>
          <w:ilvl w:val="0"/>
          <w:numId w:val="1"/>
        </w:numPr>
        <w:spacing w:after="60" w:line="276"/>
      </w:pPr>
      <w:r>
        <w:rPr>
          <w:rFonts w:ascii="Calibri" w:cs="Calibri" w:eastAsia="Calibri" w:hAnsi="Calibri"/>
          <w:b/>
          <w:bCs/>
          <w:color w:val="1A1D1F"/>
          <w:sz w:val="20"/>
          <w:szCs w:val="20"/>
        </w:rPr>
        <w:t xml:space="preserve">Non-revenue: </w:t>
      </w:r>
      <w:r>
        <w:rPr>
          <w:rFonts w:ascii="Calibri" w:cs="Calibri" w:eastAsia="Calibri" w:hAnsi="Calibri"/>
          <w:color w:val="3D4347"/>
          <w:sz w:val="20"/>
          <w:szCs w:val="20"/>
        </w:rPr>
        <w:t xml:space="preserve">The merchant has stopped generating revenue. Overdue reminders are paused. No further Non-revenue entries can be saved while the merchant is already in this state. The only valid next step is to switch back to Revenue when the merchant resumes.</w:t>
      </w:r>
    </w:p>
    <w:p>
      <w:pPr>
        <w:pStyle w:val="ListParagraph"/>
        <w:numPr>
          <w:ilvl w:val="0"/>
          <w:numId w:val="1"/>
        </w:numPr>
        <w:spacing w:after="60" w:line="276"/>
      </w:pPr>
      <w:r>
        <w:rPr>
          <w:rFonts w:ascii="Calibri" w:cs="Calibri" w:eastAsia="Calibri" w:hAnsi="Calibri"/>
          <w:color w:val="3D4347"/>
          <w:sz w:val="20"/>
          <w:szCs w:val="20"/>
        </w:rPr>
        <w:t xml:space="preserve">Transitioning back to Revenue creates a </w:t>
      </w:r>
      <w:r>
        <w:rPr>
          <w:rFonts w:ascii="Calibri" w:cs="Calibri" w:eastAsia="Calibri" w:hAnsi="Calibri"/>
          <w:b/>
          <w:bCs/>
          <w:color w:val="1A1D1F"/>
          <w:sz w:val="20"/>
          <w:szCs w:val="20"/>
        </w:rPr>
        <w:t xml:space="preserve">"comeback" entry</w:t>
      </w:r>
      <w:r>
        <w:rPr>
          <w:rFonts w:ascii="Calibri" w:cs="Calibri" w:eastAsia="Calibri" w:hAnsi="Calibri"/>
          <w:color w:val="3D4347"/>
          <w:sz w:val="20"/>
          <w:szCs w:val="20"/>
        </w:rPr>
        <w:t xml:space="preserve">, highlighted in green in the entry log.</w:t>
      </w:r>
    </w:p>
    <w:p>
      <w:r>
        <w:br w:type="page"/>
      </w:r>
    </w:p>
    <w:p>
      <w:pPr>
        <w:pStyle w:val="Heading1"/>
        <w:pBdr>
          <w:bottom w:val="single" w:color="D6D3C8" w:sz="1" w:space="4"/>
        </w:pBdr>
        <w:spacing w:after="120" w:before="400"/>
      </w:pPr>
      <w:r>
        <w:rPr>
          <w:rFonts w:ascii="Georgia" w:cs="Georgia" w:eastAsia="Georgia" w:hAnsi="Georgia"/>
          <w:b w:val="false"/>
          <w:bCs w:val="false"/>
          <w:color w:val="1A1D1F"/>
          <w:sz w:val="32"/>
          <w:szCs w:val="32"/>
        </w:rPr>
        <w:t xml:space="preserve">5. Features and Functional Requirements</w:t>
      </w:r>
    </w:p>
    <w:p>
      <w:pPr>
        <w:pStyle w:val="Heading2"/>
        <w:spacing w:after="120" w:before="240"/>
      </w:pPr>
      <w:r>
        <w:rPr>
          <w:rFonts w:ascii="Georgia" w:cs="Georgia" w:eastAsia="Georgia" w:hAnsi="Georgia"/>
          <w:b w:val="false"/>
          <w:bCs w:val="false"/>
          <w:color w:val="1A1D1F"/>
          <w:sz w:val="26"/>
          <w:szCs w:val="26"/>
        </w:rPr>
        <w:t xml:space="preserve">5.1  Data Entry Tab</w:t>
      </w:r>
    </w:p>
    <w:p>
      <w:pPr>
        <w:spacing w:after="120" w:line="276"/>
      </w:pPr>
      <w:r>
        <w:rPr>
          <w:rFonts w:ascii="Calibri" w:cs="Calibri" w:eastAsia="Calibri" w:hAnsi="Calibri"/>
          <w:color w:val="3D4347"/>
          <w:sz w:val="20"/>
          <w:szCs w:val="20"/>
        </w:rPr>
        <w:t xml:space="preserve">The primary workspace for handlers. Contains two sections: the entry form and the entry log.</w:t>
      </w:r>
    </w:p>
    <w:p>
      <w:pPr>
        <w:pStyle w:val="Heading3"/>
        <w:spacing w:after="120" w:before="240"/>
      </w:pPr>
      <w:r>
        <w:rPr>
          <w:rFonts w:ascii="Georgia" w:cs="Georgia" w:eastAsia="Georgia" w:hAnsi="Georgia"/>
          <w:b/>
          <w:bCs/>
          <w:color w:val="1A1D1F"/>
          <w:sz w:val="22"/>
          <w:szCs w:val="22"/>
        </w:rPr>
        <w:t xml:space="preserve">Entry Form</w:t>
      </w:r>
    </w:p>
    <w:p>
      <w:pPr>
        <w:pStyle w:val="ListParagraph"/>
        <w:numPr>
          <w:ilvl w:val="0"/>
          <w:numId w:val="1"/>
        </w:numPr>
        <w:spacing w:after="60" w:line="276"/>
      </w:pPr>
      <w:r>
        <w:rPr>
          <w:rFonts w:ascii="Calibri" w:cs="Calibri" w:eastAsia="Calibri" w:hAnsi="Calibri"/>
          <w:b/>
          <w:bCs/>
          <w:color w:val="1A1D1F"/>
          <w:sz w:val="20"/>
          <w:szCs w:val="20"/>
        </w:rPr>
        <w:t xml:space="preserve">Merchant search </w:t>
      </w:r>
      <w:r>
        <w:rPr>
          <w:rFonts w:ascii="Calibri" w:cs="Calibri" w:eastAsia="Calibri" w:hAnsi="Calibri"/>
          <w:color w:val="3D4347"/>
          <w:sz w:val="20"/>
          <w:szCs w:val="20"/>
        </w:rPr>
        <w:t xml:space="preserve">with normalized matching: strips spaces and compares case-insensitively, so "make my trip" finds "MakeMyTrip".</w:t>
      </w:r>
    </w:p>
    <w:p>
      <w:pPr>
        <w:pStyle w:val="ListParagraph"/>
        <w:numPr>
          <w:ilvl w:val="0"/>
          <w:numId w:val="1"/>
        </w:numPr>
        <w:spacing w:after="60" w:line="276"/>
      </w:pPr>
      <w:r>
        <w:rPr>
          <w:rFonts w:ascii="Calibri" w:cs="Calibri" w:eastAsia="Calibri" w:hAnsi="Calibri"/>
          <w:b/>
          <w:bCs/>
          <w:color w:val="1A1D1F"/>
          <w:sz w:val="20"/>
          <w:szCs w:val="20"/>
        </w:rPr>
        <w:t xml:space="preserve">Period picker </w:t>
      </w:r>
      <w:r>
        <w:rPr>
          <w:rFonts w:ascii="Calibri" w:cs="Calibri" w:eastAsia="Calibri" w:hAnsi="Calibri"/>
          <w:color w:val="3D4347"/>
          <w:sz w:val="20"/>
          <w:szCs w:val="20"/>
        </w:rPr>
        <w:t xml:space="preserve">for selecting month and year. All entries are stored at month-level granularity.</w:t>
      </w:r>
    </w:p>
    <w:p>
      <w:pPr>
        <w:pStyle w:val="ListParagraph"/>
        <w:numPr>
          <w:ilvl w:val="0"/>
          <w:numId w:val="1"/>
        </w:numPr>
        <w:spacing w:after="60" w:line="276"/>
      </w:pPr>
      <w:r>
        <w:rPr>
          <w:rFonts w:ascii="Calibri" w:cs="Calibri" w:eastAsia="Calibri" w:hAnsi="Calibri"/>
          <w:b/>
          <w:bCs/>
          <w:color w:val="1A1D1F"/>
          <w:sz w:val="20"/>
          <w:szCs w:val="20"/>
        </w:rPr>
        <w:t xml:space="preserve">Revenue toggle </w:t>
      </w:r>
      <w:r>
        <w:rPr>
          <w:rFonts w:ascii="Calibri" w:cs="Calibri" w:eastAsia="Calibri" w:hAnsi="Calibri"/>
          <w:color w:val="3D4347"/>
          <w:sz w:val="20"/>
          <w:szCs w:val="20"/>
        </w:rPr>
        <w:t xml:space="preserve">to switch the merchant between Revenue and Non-revenue. When Non-revenue is selected, metric fields become optional.</w:t>
      </w:r>
    </w:p>
    <w:p>
      <w:pPr>
        <w:pStyle w:val="ListParagraph"/>
        <w:numPr>
          <w:ilvl w:val="0"/>
          <w:numId w:val="1"/>
        </w:numPr>
        <w:spacing w:after="60" w:line="276"/>
      </w:pPr>
      <w:r>
        <w:rPr>
          <w:rFonts w:ascii="Calibri" w:cs="Calibri" w:eastAsia="Calibri" w:hAnsi="Calibri"/>
          <w:b/>
          <w:bCs/>
          <w:color w:val="1A1D1F"/>
          <w:sz w:val="20"/>
          <w:szCs w:val="20"/>
        </w:rPr>
        <w:t xml:space="preserve">Delivery team toggle: </w:t>
      </w:r>
      <w:r>
        <w:rPr>
          <w:rFonts w:ascii="Calibri" w:cs="Calibri" w:eastAsia="Calibri" w:hAnsi="Calibri"/>
          <w:color w:val="3D4347"/>
          <w:sz w:val="20"/>
          <w:szCs w:val="20"/>
        </w:rPr>
        <w:t xml:space="preserve">when enabled, a request is placed in the Delivery team's queue after saving, asking them to add their own numbers for the same merchant and period.</w:t>
      </w:r>
    </w:p>
    <w:p>
      <w:pPr>
        <w:pStyle w:val="ListParagraph"/>
        <w:numPr>
          <w:ilvl w:val="0"/>
          <w:numId w:val="1"/>
        </w:numPr>
        <w:spacing w:after="60" w:line="276"/>
      </w:pPr>
      <w:r>
        <w:rPr>
          <w:rFonts w:ascii="Calibri" w:cs="Calibri" w:eastAsia="Calibri" w:hAnsi="Calibri"/>
          <w:b/>
          <w:bCs/>
          <w:color w:val="1A1D1F"/>
          <w:sz w:val="20"/>
          <w:szCs w:val="20"/>
        </w:rPr>
        <w:t xml:space="preserve">Validation: </w:t>
      </w:r>
      <w:r>
        <w:rPr>
          <w:rFonts w:ascii="Calibri" w:cs="Calibri" w:eastAsia="Calibri" w:hAnsi="Calibri"/>
          <w:color w:val="3D4347"/>
          <w:sz w:val="20"/>
          <w:szCs w:val="20"/>
        </w:rPr>
        <w:t xml:space="preserve">for Revenue entries, Clicks, Sales, GMV, and Revenue are all mandatory. Handlers can only enter data for merchants they own.</w:t>
      </w:r>
    </w:p>
    <w:p>
      <w:pPr>
        <w:pStyle w:val="ListParagraph"/>
        <w:numPr>
          <w:ilvl w:val="0"/>
          <w:numId w:val="1"/>
        </w:numPr>
        <w:spacing w:after="60" w:line="276"/>
      </w:pPr>
      <w:r>
        <w:rPr>
          <w:rFonts w:ascii="Calibri" w:cs="Calibri" w:eastAsia="Calibri" w:hAnsi="Calibri"/>
          <w:b/>
          <w:bCs/>
          <w:color w:val="1A1D1F"/>
          <w:sz w:val="20"/>
          <w:szCs w:val="20"/>
        </w:rPr>
        <w:t xml:space="preserve">Merchant Info Strip: </w:t>
      </w:r>
      <w:r>
        <w:rPr>
          <w:rFonts w:ascii="Calibri" w:cs="Calibri" w:eastAsia="Calibri" w:hAnsi="Calibri"/>
          <w:color w:val="3D4347"/>
          <w:sz w:val="20"/>
          <w:szCs w:val="20"/>
        </w:rPr>
        <w:t xml:space="preserve">once a merchant is selected, a horizontal strip displays all metadata fields (ID, Category, Reporting, Payout, Deal Type, Owner). All fields are editable inline with a Save/Cancel action. Changes are logged to the audit trail.</w:t>
      </w:r>
    </w:p>
    <w:p>
      <w:pPr>
        <w:pStyle w:val="ListParagraph"/>
        <w:numPr>
          <w:ilvl w:val="0"/>
          <w:numId w:val="1"/>
        </w:numPr>
        <w:spacing w:after="60" w:line="276"/>
      </w:pPr>
      <w:r>
        <w:rPr>
          <w:rFonts w:ascii="Calibri" w:cs="Calibri" w:eastAsia="Calibri" w:hAnsi="Calibri"/>
          <w:b/>
          <w:bCs/>
          <w:color w:val="1A1D1F"/>
          <w:sz w:val="20"/>
          <w:szCs w:val="20"/>
        </w:rPr>
        <w:t xml:space="preserve">Add New Merchant: </w:t>
      </w:r>
      <w:r>
        <w:rPr>
          <w:rFonts w:ascii="Calibri" w:cs="Calibri" w:eastAsia="Calibri" w:hAnsi="Calibri"/>
          <w:color w:val="3D4347"/>
          <w:sz w:val="20"/>
          <w:szCs w:val="20"/>
        </w:rPr>
        <w:t xml:space="preserve">if a search returns no results, a button lets the user add a brand directly with all required fields.</w:t>
      </w:r>
    </w:p>
    <w:p>
      <w:pPr>
        <w:pStyle w:val="Heading3"/>
        <w:spacing w:after="120" w:before="240"/>
      </w:pPr>
      <w:r>
        <w:rPr>
          <w:rFonts w:ascii="Georgia" w:cs="Georgia" w:eastAsia="Georgia" w:hAnsi="Georgia"/>
          <w:b/>
          <w:bCs/>
          <w:color w:val="1A1D1F"/>
          <w:sz w:val="22"/>
          <w:szCs w:val="22"/>
        </w:rPr>
        <w:t xml:space="preserve">Entry Log</w:t>
      </w:r>
    </w:p>
    <w:p>
      <w:pPr>
        <w:pStyle w:val="ListParagraph"/>
        <w:numPr>
          <w:ilvl w:val="0"/>
          <w:numId w:val="1"/>
        </w:numPr>
        <w:spacing w:after="60" w:line="276"/>
      </w:pPr>
      <w:r>
        <w:rPr>
          <w:rFonts w:ascii="Calibri" w:cs="Calibri" w:eastAsia="Calibri" w:hAnsi="Calibri"/>
          <w:color w:val="3D4347"/>
          <w:sz w:val="20"/>
          <w:szCs w:val="20"/>
        </w:rPr>
        <w:t xml:space="preserve">A paginated table (10 per page) showing all entries, newest first.</w:t>
      </w:r>
    </w:p>
    <w:p>
      <w:pPr>
        <w:pStyle w:val="ListParagraph"/>
        <w:numPr>
          <w:ilvl w:val="0"/>
          <w:numId w:val="1"/>
        </w:numPr>
        <w:spacing w:after="60" w:line="276"/>
      </w:pPr>
      <w:r>
        <w:rPr>
          <w:rFonts w:ascii="Calibri" w:cs="Calibri" w:eastAsia="Calibri" w:hAnsi="Calibri"/>
          <w:b/>
          <w:bCs/>
          <w:color w:val="1A1D1F"/>
          <w:sz w:val="20"/>
          <w:szCs w:val="20"/>
        </w:rPr>
        <w:t xml:space="preserve">Filters: </w:t>
      </w:r>
      <w:r>
        <w:rPr>
          <w:rFonts w:ascii="Calibri" w:cs="Calibri" w:eastAsia="Calibri" w:hAnsi="Calibri"/>
          <w:color w:val="3D4347"/>
          <w:sz w:val="20"/>
          <w:szCs w:val="20"/>
        </w:rPr>
        <w:t xml:space="preserve">Merchant name (free text), Handler (dropdown), Year, and Month.</w:t>
      </w:r>
    </w:p>
    <w:p>
      <w:pPr>
        <w:pStyle w:val="ListParagraph"/>
        <w:numPr>
          <w:ilvl w:val="0"/>
          <w:numId w:val="1"/>
        </w:numPr>
        <w:spacing w:after="60" w:line="276"/>
      </w:pPr>
      <w:r>
        <w:rPr>
          <w:rFonts w:ascii="Calibri" w:cs="Calibri" w:eastAsia="Calibri" w:hAnsi="Calibri"/>
          <w:b/>
          <w:bCs/>
          <w:color w:val="1A1D1F"/>
          <w:sz w:val="20"/>
          <w:szCs w:val="20"/>
        </w:rPr>
        <w:t xml:space="preserve">Inline editing: </w:t>
      </w:r>
      <w:r>
        <w:rPr>
          <w:rFonts w:ascii="Calibri" w:cs="Calibri" w:eastAsia="Calibri" w:hAnsi="Calibri"/>
          <w:color w:val="3D4347"/>
          <w:sz w:val="20"/>
          <w:szCs w:val="20"/>
        </w:rPr>
        <w:t xml:space="preserve">the handler who created a row can modify period, clicks, sales, GMV, revenue, and remarks. CR% is auto-recomputed on save.</w:t>
      </w:r>
    </w:p>
    <w:p>
      <w:pPr>
        <w:pStyle w:val="ListParagraph"/>
        <w:numPr>
          <w:ilvl w:val="0"/>
          <w:numId w:val="1"/>
        </w:numPr>
        <w:spacing w:after="60" w:line="276"/>
      </w:pPr>
      <w:r>
        <w:rPr>
          <w:rFonts w:ascii="Calibri" w:cs="Calibri" w:eastAsia="Calibri" w:hAnsi="Calibri"/>
          <w:b/>
          <w:bCs/>
          <w:color w:val="1A1D1F"/>
          <w:sz w:val="20"/>
          <w:szCs w:val="20"/>
        </w:rPr>
        <w:t xml:space="preserve">Delete: </w:t>
      </w:r>
      <w:r>
        <w:rPr>
          <w:rFonts w:ascii="Calibri" w:cs="Calibri" w:eastAsia="Calibri" w:hAnsi="Calibri"/>
          <w:color w:val="3D4347"/>
          <w:sz w:val="20"/>
          <w:szCs w:val="20"/>
        </w:rPr>
        <w:t xml:space="preserve">only visible to Manager and Founders Office. Handlers cannot delete entries.</w:t>
      </w:r>
    </w:p>
    <w:p>
      <w:pPr>
        <w:pStyle w:val="ListParagraph"/>
        <w:numPr>
          <w:ilvl w:val="0"/>
          <w:numId w:val="1"/>
        </w:numPr>
        <w:spacing w:after="60" w:line="276"/>
      </w:pPr>
      <w:r>
        <w:rPr>
          <w:rFonts w:ascii="Calibri" w:cs="Calibri" w:eastAsia="Calibri" w:hAnsi="Calibri"/>
          <w:color w:val="3D4347"/>
          <w:sz w:val="20"/>
          <w:szCs w:val="20"/>
        </w:rPr>
        <w:t xml:space="preserve">Non-revenue entries display a distinct "Non-revenue" banner spanning the metric columns.</w:t>
      </w:r>
    </w:p>
    <w:p>
      <w:pPr>
        <w:pStyle w:val="ListParagraph"/>
        <w:numPr>
          <w:ilvl w:val="0"/>
          <w:numId w:val="1"/>
        </w:numPr>
        <w:spacing w:after="60" w:line="276"/>
      </w:pPr>
      <w:r>
        <w:rPr>
          <w:rFonts w:ascii="Calibri" w:cs="Calibri" w:eastAsia="Calibri" w:hAnsi="Calibri"/>
          <w:color w:val="3D4347"/>
          <w:sz w:val="20"/>
          <w:szCs w:val="20"/>
        </w:rPr>
        <w:t xml:space="preserve">Comeback entries (Revenue following Non-revenue) show a green "Back to revenue" badge.</w:t>
      </w:r>
    </w:p>
    <w:p>
      <w:pPr>
        <w:pStyle w:val="ListParagraph"/>
        <w:numPr>
          <w:ilvl w:val="0"/>
          <w:numId w:val="1"/>
        </w:numPr>
        <w:spacing w:after="60" w:line="276"/>
      </w:pPr>
      <w:r>
        <w:rPr>
          <w:rFonts w:ascii="Calibri" w:cs="Calibri" w:eastAsia="Calibri" w:hAnsi="Calibri"/>
          <w:b/>
          <w:bCs/>
          <w:color w:val="1A1D1F"/>
          <w:sz w:val="20"/>
          <w:szCs w:val="20"/>
        </w:rPr>
        <w:t xml:space="preserve">CSV export </w:t>
      </w:r>
      <w:r>
        <w:rPr>
          <w:rFonts w:ascii="Calibri" w:cs="Calibri" w:eastAsia="Calibri" w:hAnsi="Calibri"/>
          <w:color w:val="3D4347"/>
          <w:sz w:val="20"/>
          <w:szCs w:val="20"/>
        </w:rPr>
        <w:t xml:space="preserve">of all rows matching the current filters.</w:t>
      </w:r>
    </w:p>
    <w:p>
      <w:pPr>
        <w:pStyle w:val="ListParagraph"/>
        <w:numPr>
          <w:ilvl w:val="0"/>
          <w:numId w:val="1"/>
        </w:numPr>
        <w:spacing w:after="60" w:line="276"/>
      </w:pPr>
      <w:r>
        <w:rPr>
          <w:rFonts w:ascii="Calibri" w:cs="Calibri" w:eastAsia="Calibri" w:hAnsi="Calibri"/>
          <w:b/>
          <w:bCs/>
          <w:color w:val="1A1D1F"/>
          <w:sz w:val="20"/>
          <w:szCs w:val="20"/>
        </w:rPr>
        <w:t xml:space="preserve">Edit History modal </w:t>
      </w:r>
      <w:r>
        <w:rPr>
          <w:rFonts w:ascii="Calibri" w:cs="Calibri" w:eastAsia="Calibri" w:hAnsi="Calibri"/>
          <w:color w:val="3D4347"/>
          <w:sz w:val="20"/>
          <w:szCs w:val="20"/>
        </w:rPr>
        <w:t xml:space="preserve">accessible via button, showing the full audit trail of changes.</w:t>
      </w:r>
    </w:p>
    <w:p>
      <w:pPr>
        <w:pStyle w:val="Heading2"/>
        <w:spacing w:after="120" w:before="240"/>
      </w:pPr>
      <w:r>
        <w:rPr>
          <w:rFonts w:ascii="Georgia" w:cs="Georgia" w:eastAsia="Georgia" w:hAnsi="Georgia"/>
          <w:b w:val="false"/>
          <w:bCs w:val="false"/>
          <w:color w:val="1A1D1F"/>
          <w:sz w:val="26"/>
          <w:szCs w:val="26"/>
        </w:rPr>
        <w:t xml:space="preserve">5.2  Data View Tab</w:t>
      </w:r>
    </w:p>
    <w:p>
      <w:pPr>
        <w:spacing w:after="120" w:line="276"/>
      </w:pPr>
      <w:r>
        <w:rPr>
          <w:rFonts w:ascii="Calibri" w:cs="Calibri" w:eastAsia="Calibri" w:hAnsi="Calibri"/>
          <w:color w:val="3D4347"/>
          <w:sz w:val="20"/>
          <w:szCs w:val="20"/>
        </w:rPr>
        <w:t xml:space="preserve">A read-only analytical view showing per-merchant, month-by-month performance breakdowns across all five metrics.</w:t>
      </w:r>
    </w:p>
    <w:p>
      <w:pPr>
        <w:pStyle w:val="Heading3"/>
        <w:spacing w:after="120" w:before="240"/>
      </w:pPr>
      <w:r>
        <w:rPr>
          <w:rFonts w:ascii="Georgia" w:cs="Georgia" w:eastAsia="Georgia" w:hAnsi="Georgia"/>
          <w:b/>
          <w:bCs/>
          <w:color w:val="1A1D1F"/>
          <w:sz w:val="22"/>
          <w:szCs w:val="22"/>
        </w:rPr>
        <w:t xml:space="preserve">Filters</w:t>
      </w:r>
    </w:p>
    <w:p>
      <w:pPr>
        <w:pStyle w:val="ListParagraph"/>
        <w:numPr>
          <w:ilvl w:val="0"/>
          <w:numId w:val="1"/>
        </w:numPr>
        <w:spacing w:after="60" w:line="276"/>
      </w:pPr>
      <w:r>
        <w:rPr>
          <w:rFonts w:ascii="Calibri" w:cs="Calibri" w:eastAsia="Calibri" w:hAnsi="Calibri"/>
          <w:b/>
          <w:bCs/>
          <w:color w:val="1A1D1F"/>
          <w:sz w:val="20"/>
          <w:szCs w:val="20"/>
        </w:rPr>
        <w:t xml:space="preserve">Handler: </w:t>
      </w:r>
      <w:r>
        <w:rPr>
          <w:rFonts w:ascii="Calibri" w:cs="Calibri" w:eastAsia="Calibri" w:hAnsi="Calibri"/>
          <w:color w:val="3D4347"/>
          <w:sz w:val="20"/>
          <w:szCs w:val="20"/>
        </w:rPr>
        <w:t xml:space="preserve">defaults to the logged-in handler. Supports a "Multiple handlers" toggle and an "All handlers" toggle.</w:t>
      </w:r>
    </w:p>
    <w:p>
      <w:pPr>
        <w:pStyle w:val="ListParagraph"/>
        <w:numPr>
          <w:ilvl w:val="0"/>
          <w:numId w:val="1"/>
        </w:numPr>
        <w:spacing w:after="60" w:line="276"/>
      </w:pPr>
      <w:r>
        <w:rPr>
          <w:rFonts w:ascii="Calibri" w:cs="Calibri" w:eastAsia="Calibri" w:hAnsi="Calibri"/>
          <w:b/>
          <w:bCs/>
          <w:color w:val="1A1D1F"/>
          <w:sz w:val="20"/>
          <w:szCs w:val="20"/>
        </w:rPr>
        <w:t xml:space="preserve">Brand: </w:t>
      </w:r>
      <w:r>
        <w:rPr>
          <w:rFonts w:ascii="Calibri" w:cs="Calibri" w:eastAsia="Calibri" w:hAnsi="Calibri"/>
          <w:color w:val="3D4347"/>
          <w:sz w:val="20"/>
          <w:szCs w:val="20"/>
        </w:rPr>
        <w:t xml:space="preserve">searchable autocomplete with multi-select toggle and a clear button.</w:t>
      </w:r>
    </w:p>
    <w:p>
      <w:pPr>
        <w:pStyle w:val="ListParagraph"/>
        <w:numPr>
          <w:ilvl w:val="0"/>
          <w:numId w:val="1"/>
        </w:numPr>
        <w:spacing w:after="60" w:line="276"/>
      </w:pPr>
      <w:r>
        <w:rPr>
          <w:rFonts w:ascii="Calibri" w:cs="Calibri" w:eastAsia="Calibri" w:hAnsi="Calibri"/>
          <w:b/>
          <w:bCs/>
          <w:color w:val="1A1D1F"/>
          <w:sz w:val="20"/>
          <w:szCs w:val="20"/>
        </w:rPr>
        <w:t xml:space="preserve">Category: </w:t>
      </w:r>
      <w:r>
        <w:rPr>
          <w:rFonts w:ascii="Calibri" w:cs="Calibri" w:eastAsia="Calibri" w:hAnsi="Calibri"/>
          <w:color w:val="3D4347"/>
          <w:sz w:val="20"/>
          <w:szCs w:val="20"/>
        </w:rPr>
        <w:t xml:space="preserve">searchable autocomplete with a clear button.</w:t>
      </w:r>
    </w:p>
    <w:p>
      <w:pPr>
        <w:pStyle w:val="ListParagraph"/>
        <w:numPr>
          <w:ilvl w:val="0"/>
          <w:numId w:val="1"/>
        </w:numPr>
        <w:spacing w:after="60" w:line="276"/>
      </w:pPr>
      <w:r>
        <w:rPr>
          <w:rFonts w:ascii="Calibri" w:cs="Calibri" w:eastAsia="Calibri" w:hAnsi="Calibri"/>
          <w:b/>
          <w:bCs/>
          <w:color w:val="1A1D1F"/>
          <w:sz w:val="20"/>
          <w:szCs w:val="20"/>
        </w:rPr>
        <w:t xml:space="preserve">Mutual exclusion: </w:t>
      </w:r>
      <w:r>
        <w:rPr>
          <w:rFonts w:ascii="Calibri" w:cs="Calibri" w:eastAsia="Calibri" w:hAnsi="Calibri"/>
          <w:color w:val="3D4347"/>
          <w:sz w:val="20"/>
          <w:szCs w:val="20"/>
        </w:rPr>
        <w:t xml:space="preserve">Brand and Category cannot both be active at the same time. Selecting one disables the other until it is cleared.</w:t>
      </w:r>
    </w:p>
    <w:p>
      <w:pPr>
        <w:pStyle w:val="ListParagraph"/>
        <w:numPr>
          <w:ilvl w:val="0"/>
          <w:numId w:val="1"/>
        </w:numPr>
        <w:spacing w:after="60" w:line="276"/>
      </w:pPr>
      <w:r>
        <w:rPr>
          <w:rFonts w:ascii="Calibri" w:cs="Calibri" w:eastAsia="Calibri" w:hAnsi="Calibri"/>
          <w:b/>
          <w:bCs/>
          <w:color w:val="1A1D1F"/>
          <w:sz w:val="20"/>
          <w:szCs w:val="20"/>
        </w:rPr>
        <w:t xml:space="preserve">Month range: </w:t>
      </w:r>
      <w:r>
        <w:rPr>
          <w:rFonts w:ascii="Calibri" w:cs="Calibri" w:eastAsia="Calibri" w:hAnsi="Calibri"/>
          <w:color w:val="3D4347"/>
          <w:sz w:val="20"/>
          <w:szCs w:val="20"/>
        </w:rPr>
        <w:t xml:space="preserve">a compact popover for picking from/to months. A "Single month" toggle switches to viewing just one month.</w:t>
      </w:r>
    </w:p>
    <w:p>
      <w:pPr>
        <w:pStyle w:val="ListParagraph"/>
        <w:numPr>
          <w:ilvl w:val="0"/>
          <w:numId w:val="1"/>
        </w:numPr>
        <w:spacing w:after="60" w:line="276"/>
      </w:pPr>
      <w:r>
        <w:rPr>
          <w:rFonts w:ascii="Calibri" w:cs="Calibri" w:eastAsia="Calibri" w:hAnsi="Calibri"/>
          <w:b/>
          <w:bCs/>
          <w:color w:val="1A1D1F"/>
          <w:sz w:val="20"/>
          <w:szCs w:val="20"/>
        </w:rPr>
        <w:t xml:space="preserve">Explicit Search action: </w:t>
      </w:r>
      <w:r>
        <w:rPr>
          <w:rFonts w:ascii="Calibri" w:cs="Calibri" w:eastAsia="Calibri" w:hAnsi="Calibri"/>
          <w:color w:val="3D4347"/>
          <w:sz w:val="20"/>
          <w:szCs w:val="20"/>
        </w:rPr>
        <w:t xml:space="preserve">filters are in draft state until the user clicks "Search." The Search button visually highlights when filters have changed since the last search, preventing unnecessary data fetches on every filter change.</w:t>
      </w:r>
    </w:p>
    <w:p>
      <w:pPr>
        <w:pStyle w:val="Heading3"/>
        <w:spacing w:after="120" w:before="240"/>
      </w:pPr>
      <w:r>
        <w:rPr>
          <w:rFonts w:ascii="Georgia" w:cs="Georgia" w:eastAsia="Georgia" w:hAnsi="Georgia"/>
          <w:b/>
          <w:bCs/>
          <w:color w:val="1A1D1F"/>
          <w:sz w:val="22"/>
          <w:szCs w:val="22"/>
        </w:rPr>
        <w:t xml:space="preserve">Table</w:t>
      </w:r>
    </w:p>
    <w:p>
      <w:pPr>
        <w:pStyle w:val="ListParagraph"/>
        <w:numPr>
          <w:ilvl w:val="0"/>
          <w:numId w:val="1"/>
        </w:numPr>
        <w:spacing w:after="60" w:line="276"/>
      </w:pPr>
      <w:r>
        <w:rPr>
          <w:rFonts w:ascii="Calibri" w:cs="Calibri" w:eastAsia="Calibri" w:hAnsi="Calibri"/>
          <w:color w:val="3D4347"/>
          <w:sz w:val="20"/>
          <w:szCs w:val="20"/>
        </w:rPr>
        <w:t xml:space="preserve">One row per merchant. Columns are grouped by month, each containing the selected metrics.</w:t>
      </w:r>
    </w:p>
    <w:p>
      <w:pPr>
        <w:pStyle w:val="ListParagraph"/>
        <w:numPr>
          <w:ilvl w:val="0"/>
          <w:numId w:val="1"/>
        </w:numPr>
        <w:spacing w:after="60" w:line="276"/>
      </w:pPr>
      <w:r>
        <w:rPr>
          <w:rFonts w:ascii="Calibri" w:cs="Calibri" w:eastAsia="Calibri" w:hAnsi="Calibri"/>
          <w:b/>
          <w:bCs/>
          <w:color w:val="1A1D1F"/>
          <w:sz w:val="20"/>
          <w:szCs w:val="20"/>
        </w:rPr>
        <w:t xml:space="preserve">Metric toggles: </w:t>
      </w:r>
      <w:r>
        <w:rPr>
          <w:rFonts w:ascii="Calibri" w:cs="Calibri" w:eastAsia="Calibri" w:hAnsi="Calibri"/>
          <w:color w:val="3D4347"/>
          <w:sz w:val="20"/>
          <w:szCs w:val="20"/>
        </w:rPr>
        <w:t xml:space="preserve">Clicks, Sales, CR%, GMV, and Revenue can be individually shown or hidden via chip buttons above the table. At least one must remain visible.</w:t>
      </w:r>
    </w:p>
    <w:p>
      <w:pPr>
        <w:pStyle w:val="ListParagraph"/>
        <w:numPr>
          <w:ilvl w:val="0"/>
          <w:numId w:val="1"/>
        </w:numPr>
        <w:spacing w:after="60" w:line="276"/>
      </w:pPr>
      <w:r>
        <w:rPr>
          <w:rFonts w:ascii="Calibri" w:cs="Calibri" w:eastAsia="Calibri" w:hAnsi="Calibri"/>
          <w:color w:val="3D4347"/>
          <w:sz w:val="20"/>
          <w:szCs w:val="20"/>
        </w:rPr>
        <w:t xml:space="preserve">Cells include a proportional bar fill and a bold highlight for the leading value in each column.</w:t>
      </w:r>
    </w:p>
    <w:p>
      <w:pPr>
        <w:pStyle w:val="ListParagraph"/>
        <w:numPr>
          <w:ilvl w:val="0"/>
          <w:numId w:val="1"/>
        </w:numPr>
        <w:spacing w:after="60" w:line="276"/>
      </w:pPr>
      <w:r>
        <w:rPr>
          <w:rFonts w:ascii="Calibri" w:cs="Calibri" w:eastAsia="Calibri" w:hAnsi="Calibri"/>
          <w:color w:val="3D4347"/>
          <w:sz w:val="20"/>
          <w:szCs w:val="20"/>
        </w:rPr>
        <w:t xml:space="preserve">A "Portfolio" totals row at the bottom sums across all visible merchants.</w:t>
      </w:r>
    </w:p>
    <w:p>
      <w:pPr>
        <w:pStyle w:val="ListParagraph"/>
        <w:numPr>
          <w:ilvl w:val="0"/>
          <w:numId w:val="1"/>
        </w:numPr>
        <w:spacing w:after="60" w:line="276"/>
      </w:pPr>
      <w:r>
        <w:rPr>
          <w:rFonts w:ascii="Calibri" w:cs="Calibri" w:eastAsia="Calibri" w:hAnsi="Calibri"/>
          <w:b/>
          <w:bCs/>
          <w:color w:val="1A1D1F"/>
          <w:sz w:val="20"/>
          <w:szCs w:val="20"/>
        </w:rPr>
        <w:t xml:space="preserve">CSV export </w:t>
      </w:r>
      <w:r>
        <w:rPr>
          <w:rFonts w:ascii="Calibri" w:cs="Calibri" w:eastAsia="Calibri" w:hAnsi="Calibri"/>
          <w:color w:val="3D4347"/>
          <w:sz w:val="20"/>
          <w:szCs w:val="20"/>
        </w:rPr>
        <w:t xml:space="preserve">of the full breakdown table.</w:t>
      </w:r>
    </w:p>
    <w:p>
      <w:pPr>
        <w:pStyle w:val="Heading2"/>
        <w:spacing w:after="120" w:before="240"/>
      </w:pPr>
      <w:r>
        <w:rPr>
          <w:rFonts w:ascii="Georgia" w:cs="Georgia" w:eastAsia="Georgia" w:hAnsi="Georgia"/>
          <w:b w:val="false"/>
          <w:bCs w:val="false"/>
          <w:color w:val="1A1D1F"/>
          <w:sz w:val="26"/>
          <w:szCs w:val="26"/>
        </w:rPr>
        <w:t xml:space="preserve">5.3  Merchant Info Tab</w:t>
      </w:r>
    </w:p>
    <w:p>
      <w:pPr>
        <w:spacing w:after="120" w:line="276"/>
      </w:pPr>
      <w:r>
        <w:rPr>
          <w:rFonts w:ascii="Calibri" w:cs="Calibri" w:eastAsia="Calibri" w:hAnsi="Calibri"/>
          <w:color w:val="3D4347"/>
          <w:sz w:val="20"/>
          <w:szCs w:val="20"/>
        </w:rPr>
        <w:t xml:space="preserve">A complete registry of every merchant in the system, with metadata management and per-merchant edit history.</w:t>
      </w:r>
    </w:p>
    <w:p>
      <w:pPr>
        <w:pStyle w:val="Heading3"/>
        <w:spacing w:after="120" w:before="240"/>
      </w:pPr>
      <w:r>
        <w:rPr>
          <w:rFonts w:ascii="Georgia" w:cs="Georgia" w:eastAsia="Georgia" w:hAnsi="Georgia"/>
          <w:b/>
          <w:bCs/>
          <w:color w:val="1A1D1F"/>
          <w:sz w:val="22"/>
          <w:szCs w:val="22"/>
        </w:rPr>
        <w:t xml:space="preserve">Merchant Table</w:t>
      </w:r>
    </w:p>
    <w:p>
      <w:pPr>
        <w:spacing w:after="120" w:line="276"/>
      </w:pPr>
      <w:r>
        <w:rPr>
          <w:rFonts w:ascii="Calibri" w:cs="Calibri" w:eastAsia="Calibri" w:hAnsi="Calibri"/>
          <w:color w:val="3D4347"/>
          <w:sz w:val="20"/>
          <w:szCs w:val="20"/>
        </w:rPr>
        <w:t xml:space="preserve">An 11-column table displaying all merchant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Column</w:t>
            </w:r>
          </w:p>
        </w:tc>
        <w:tc>
          <w:tcPr>
            <w:tcW w:type="dxa" w:w="6240"/>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Details</w:t>
            </w:r>
          </w:p>
        </w:tc>
      </w:tr>
      <w:tr>
        <w:tc>
          <w:tcPr>
            <w:tcW w:type="dxa" w:w="312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Merchant ID</w:t>
            </w:r>
          </w:p>
        </w:tc>
        <w:tc>
          <w:tcPr>
            <w:tcW w:type="dxa" w:w="624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Numeric identifier, monospaced</w:t>
            </w:r>
          </w:p>
        </w:tc>
      </w:tr>
      <w:tr>
        <w:tc>
          <w:tcPr>
            <w:tcW w:type="dxa" w:w="312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Merchant Name</w:t>
            </w:r>
          </w:p>
        </w:tc>
        <w:tc>
          <w:tcPr>
            <w:tcW w:type="dxa" w:w="624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Bold brand name</w:t>
            </w:r>
          </w:p>
        </w:tc>
      </w:tr>
      <w:tr>
        <w:tc>
          <w:tcPr>
            <w:tcW w:type="dxa" w:w="312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Breadcrumb1 Name</w:t>
            </w:r>
          </w:p>
        </w:tc>
        <w:tc>
          <w:tcPr>
            <w:tcW w:type="dxa" w:w="624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Primary category</w:t>
            </w:r>
          </w:p>
        </w:tc>
      </w:tr>
      <w:tr>
        <w:tc>
          <w:tcPr>
            <w:tcW w:type="dxa" w:w="312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Breadcrumb2 Name</w:t>
            </w:r>
          </w:p>
        </w:tc>
        <w:tc>
          <w:tcPr>
            <w:tcW w:type="dxa" w:w="624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Sub-category</w:t>
            </w:r>
          </w:p>
        </w:tc>
      </w:tr>
      <w:tr>
        <w:tc>
          <w:tcPr>
            <w:tcW w:type="dxa" w:w="312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Affiliate ID</w:t>
            </w:r>
          </w:p>
        </w:tc>
        <w:tc>
          <w:tcPr>
            <w:tcW w:type="dxa" w:w="624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Numeric, monospaced</w:t>
            </w:r>
          </w:p>
        </w:tc>
      </w:tr>
      <w:tr>
        <w:tc>
          <w:tcPr>
            <w:tcW w:type="dxa" w:w="312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Affiliate Name</w:t>
            </w:r>
          </w:p>
        </w:tc>
        <w:tc>
          <w:tcPr>
            <w:tcW w:type="dxa" w:w="624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Network name</w:t>
            </w:r>
          </w:p>
        </w:tc>
      </w:tr>
      <w:tr>
        <w:tc>
          <w:tcPr>
            <w:tcW w:type="dxa" w:w="312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Reporting</w:t>
            </w:r>
          </w:p>
        </w:tc>
        <w:tc>
          <w:tcPr>
            <w:tcW w:type="dxa" w:w="624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Cadence</w:t>
            </w:r>
          </w:p>
        </w:tc>
      </w:tr>
      <w:tr>
        <w:tc>
          <w:tcPr>
            <w:tcW w:type="dxa" w:w="312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Deal Type</w:t>
            </w:r>
          </w:p>
        </w:tc>
        <w:tc>
          <w:tcPr>
            <w:tcW w:type="dxa" w:w="624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Conversion tracking method</w:t>
            </w:r>
          </w:p>
        </w:tc>
      </w:tr>
      <w:tr>
        <w:tc>
          <w:tcPr>
            <w:tcW w:type="dxa" w:w="312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Payout</w:t>
            </w:r>
          </w:p>
        </w:tc>
        <w:tc>
          <w:tcPr>
            <w:tcW w:type="dxa" w:w="624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Commission terms</w:t>
            </w:r>
          </w:p>
        </w:tc>
      </w:tr>
      <w:tr>
        <w:tc>
          <w:tcPr>
            <w:tcW w:type="dxa" w:w="312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Revenue Status</w:t>
            </w:r>
          </w:p>
        </w:tc>
        <w:tc>
          <w:tcPr>
            <w:tcW w:type="dxa" w:w="624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Color-coded chip (green for Revenue, muted for Non-revenue)</w:t>
            </w:r>
          </w:p>
        </w:tc>
      </w:tr>
      <w:tr>
        <w:tc>
          <w:tcPr>
            <w:tcW w:type="dxa" w:w="312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History</w:t>
            </w:r>
          </w:p>
        </w:tc>
        <w:tc>
          <w:tcPr>
            <w:tcW w:type="dxa" w:w="624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Blue link that opens the per-merchant edit history modal</w:t>
            </w:r>
          </w:p>
        </w:tc>
      </w:tr>
    </w:tbl>
    <w:p>
      <w:pPr>
        <w:spacing w:after="80"/>
      </w:pPr>
    </w:p>
    <w:p>
      <w:pPr>
        <w:pStyle w:val="ListParagraph"/>
        <w:numPr>
          <w:ilvl w:val="0"/>
          <w:numId w:val="1"/>
        </w:numPr>
        <w:spacing w:after="60" w:line="276"/>
      </w:pPr>
      <w:r>
        <w:rPr>
          <w:rFonts w:ascii="Calibri" w:cs="Calibri" w:eastAsia="Calibri" w:hAnsi="Calibri"/>
          <w:color w:val="3D4347"/>
          <w:sz w:val="20"/>
          <w:szCs w:val="20"/>
        </w:rPr>
        <w:t xml:space="preserve">All data is left-aligned. Null values display a muted dash, also left-aligned.</w:t>
      </w:r>
    </w:p>
    <w:p>
      <w:pPr>
        <w:pStyle w:val="ListParagraph"/>
        <w:numPr>
          <w:ilvl w:val="0"/>
          <w:numId w:val="1"/>
        </w:numPr>
        <w:spacing w:after="60" w:line="276"/>
      </w:pPr>
      <w:r>
        <w:rPr>
          <w:rFonts w:ascii="Calibri" w:cs="Calibri" w:eastAsia="Calibri" w:hAnsi="Calibri"/>
          <w:color w:val="3D4347"/>
          <w:sz w:val="20"/>
          <w:szCs w:val="20"/>
        </w:rPr>
        <w:t xml:space="preserve">Paginated at 12 merchants per page.</w:t>
      </w:r>
    </w:p>
    <w:p>
      <w:pPr>
        <w:pStyle w:val="ListParagraph"/>
        <w:numPr>
          <w:ilvl w:val="0"/>
          <w:numId w:val="1"/>
        </w:numPr>
        <w:spacing w:after="60" w:line="276"/>
      </w:pPr>
      <w:r>
        <w:rPr>
          <w:rFonts w:ascii="Calibri" w:cs="Calibri" w:eastAsia="Calibri" w:hAnsi="Calibri"/>
          <w:b/>
          <w:bCs/>
          <w:color w:val="1A1D1F"/>
          <w:sz w:val="20"/>
          <w:szCs w:val="20"/>
        </w:rPr>
        <w:t xml:space="preserve">Filters: </w:t>
      </w:r>
      <w:r>
        <w:rPr>
          <w:rFonts w:ascii="Calibri" w:cs="Calibri" w:eastAsia="Calibri" w:hAnsi="Calibri"/>
          <w:color w:val="3D4347"/>
          <w:sz w:val="20"/>
          <w:szCs w:val="20"/>
        </w:rPr>
        <w:t xml:space="preserve">Handler (with multiple/all toggles) and Brand (with multiple toggle and clear). Brand options are scoped to the selected handler(s).</w:t>
      </w:r>
    </w:p>
    <w:p>
      <w:pPr>
        <w:pStyle w:val="Heading3"/>
        <w:spacing w:after="120" w:before="240"/>
      </w:pPr>
      <w:r>
        <w:rPr>
          <w:rFonts w:ascii="Georgia" w:cs="Georgia" w:eastAsia="Georgia" w:hAnsi="Georgia"/>
          <w:b/>
          <w:bCs/>
          <w:color w:val="1A1D1F"/>
          <w:sz w:val="22"/>
          <w:szCs w:val="22"/>
        </w:rPr>
        <w:t xml:space="preserve">History Modal</w:t>
      </w:r>
    </w:p>
    <w:p>
      <w:pPr>
        <w:pStyle w:val="ListParagraph"/>
        <w:numPr>
          <w:ilvl w:val="0"/>
          <w:numId w:val="1"/>
        </w:numPr>
        <w:spacing w:after="60" w:line="276"/>
      </w:pPr>
      <w:r>
        <w:rPr>
          <w:rFonts w:ascii="Calibri" w:cs="Calibri" w:eastAsia="Calibri" w:hAnsi="Calibri"/>
          <w:color w:val="3D4347"/>
          <w:sz w:val="20"/>
          <w:szCs w:val="20"/>
        </w:rPr>
        <w:t xml:space="preserve">Per-merchant modal showing changes to the merchant's own fields (category, reporting, payout, deal type, handler, revenue status).</w:t>
      </w:r>
    </w:p>
    <w:p>
      <w:pPr>
        <w:pStyle w:val="ListParagraph"/>
        <w:numPr>
          <w:ilvl w:val="0"/>
          <w:numId w:val="1"/>
        </w:numPr>
        <w:spacing w:after="60" w:line="276"/>
      </w:pPr>
      <w:r>
        <w:rPr>
          <w:rFonts w:ascii="Calibri" w:cs="Calibri" w:eastAsia="Calibri" w:hAnsi="Calibri"/>
          <w:color w:val="3D4347"/>
          <w:sz w:val="20"/>
          <w:szCs w:val="20"/>
        </w:rPr>
        <w:t xml:space="preserve">Each row shows: Type (Edit or Status), Change detail (field name with old and new values as styled pills), who made the change, and when.</w:t>
      </w:r>
    </w:p>
    <w:p>
      <w:pPr>
        <w:pStyle w:val="ListParagraph"/>
        <w:numPr>
          <w:ilvl w:val="0"/>
          <w:numId w:val="1"/>
        </w:numPr>
        <w:spacing w:after="60" w:line="276"/>
      </w:pPr>
      <w:r>
        <w:rPr>
          <w:rFonts w:ascii="Calibri" w:cs="Calibri" w:eastAsia="Calibri" w:hAnsi="Calibri"/>
          <w:color w:val="3D4347"/>
          <w:sz w:val="20"/>
          <w:szCs w:val="20"/>
        </w:rPr>
        <w:t xml:space="preserve">Revenue status transitions are derived from the entry timeline and shown with a "Status" badge.</w:t>
      </w:r>
    </w:p>
    <w:p>
      <w:pPr>
        <w:pStyle w:val="Heading3"/>
        <w:spacing w:after="120" w:before="240"/>
      </w:pPr>
      <w:r>
        <w:rPr>
          <w:rFonts w:ascii="Georgia" w:cs="Georgia" w:eastAsia="Georgia" w:hAnsi="Georgia"/>
          <w:b/>
          <w:bCs/>
          <w:color w:val="1A1D1F"/>
          <w:sz w:val="22"/>
          <w:szCs w:val="22"/>
        </w:rPr>
        <w:t xml:space="preserve">Downloads</w:t>
      </w:r>
    </w:p>
    <w:p>
      <w:pPr>
        <w:pStyle w:val="ListParagraph"/>
        <w:numPr>
          <w:ilvl w:val="0"/>
          <w:numId w:val="1"/>
        </w:numPr>
        <w:spacing w:after="60" w:line="276"/>
      </w:pPr>
      <w:r>
        <w:rPr>
          <w:rFonts w:ascii="Calibri" w:cs="Calibri" w:eastAsia="Calibri" w:hAnsi="Calibri"/>
          <w:b/>
          <w:bCs/>
          <w:color w:val="1A1D1F"/>
          <w:sz w:val="20"/>
          <w:szCs w:val="20"/>
        </w:rPr>
        <w:t xml:space="preserve">Download CSV: </w:t>
      </w:r>
      <w:r>
        <w:rPr>
          <w:rFonts w:ascii="Calibri" w:cs="Calibri" w:eastAsia="Calibri" w:hAnsi="Calibri"/>
          <w:color w:val="3D4347"/>
          <w:sz w:val="20"/>
          <w:szCs w:val="20"/>
        </w:rPr>
        <w:t xml:space="preserve">exports the merchant table as currently filtered.</w:t>
      </w:r>
    </w:p>
    <w:p>
      <w:pPr>
        <w:pStyle w:val="ListParagraph"/>
        <w:numPr>
          <w:ilvl w:val="0"/>
          <w:numId w:val="1"/>
        </w:numPr>
        <w:spacing w:after="60" w:line="276"/>
      </w:pPr>
      <w:r>
        <w:rPr>
          <w:rFonts w:ascii="Calibri" w:cs="Calibri" w:eastAsia="Calibri" w:hAnsi="Calibri"/>
          <w:b/>
          <w:bCs/>
          <w:color w:val="1A1D1F"/>
          <w:sz w:val="20"/>
          <w:szCs w:val="20"/>
        </w:rPr>
        <w:t xml:space="preserve">Download history: </w:t>
      </w:r>
      <w:r>
        <w:rPr>
          <w:rFonts w:ascii="Calibri" w:cs="Calibri" w:eastAsia="Calibri" w:hAnsi="Calibri"/>
          <w:color w:val="3D4347"/>
          <w:sz w:val="20"/>
          <w:szCs w:val="20"/>
        </w:rPr>
        <w:t xml:space="preserve">exports all merchant-field edit history within a selectable date range (defaults to January of last year through the current month).</w:t>
      </w:r>
    </w:p>
    <w:p>
      <w:pPr>
        <w:pStyle w:val="Heading2"/>
        <w:spacing w:after="120" w:before="240"/>
      </w:pPr>
      <w:r>
        <w:rPr>
          <w:rFonts w:ascii="Georgia" w:cs="Georgia" w:eastAsia="Georgia" w:hAnsi="Georgia"/>
          <w:b w:val="false"/>
          <w:bCs w:val="false"/>
          <w:color w:val="1A1D1F"/>
          <w:sz w:val="26"/>
          <w:szCs w:val="26"/>
        </w:rPr>
        <w:t xml:space="preserve">5.4  Brand Transfer Tab</w:t>
      </w:r>
    </w:p>
    <w:p>
      <w:pPr>
        <w:spacing w:after="120" w:line="276"/>
      </w:pPr>
      <w:r>
        <w:rPr>
          <w:rFonts w:ascii="Calibri" w:cs="Calibri" w:eastAsia="Calibri" w:hAnsi="Calibri"/>
          <w:b/>
          <w:bCs/>
          <w:color w:val="0E7C6B"/>
          <w:sz w:val="18"/>
          <w:szCs w:val="18"/>
        </w:rPr>
        <w:t xml:space="preserve">[Manager / Founders Office only]</w:t>
      </w:r>
    </w:p>
    <w:p>
      <w:pPr>
        <w:spacing w:after="120" w:line="276"/>
      </w:pPr>
      <w:r>
        <w:rPr>
          <w:rFonts w:ascii="Calibri" w:cs="Calibri" w:eastAsia="Calibri" w:hAnsi="Calibri"/>
          <w:color w:val="3D4347"/>
          <w:sz w:val="20"/>
          <w:szCs w:val="20"/>
        </w:rPr>
        <w:t xml:space="preserve">Lets privileged users reassign merchants from one handler to another.</w:t>
      </w:r>
    </w:p>
    <w:p>
      <w:pPr>
        <w:pStyle w:val="ListParagraph"/>
        <w:numPr>
          <w:ilvl w:val="0"/>
          <w:numId w:val="1"/>
        </w:numPr>
        <w:spacing w:after="60" w:line="276"/>
      </w:pPr>
      <w:r>
        <w:rPr>
          <w:rFonts w:ascii="Calibri" w:cs="Calibri" w:eastAsia="Calibri" w:hAnsi="Calibri"/>
          <w:color w:val="3D4347"/>
          <w:sz w:val="20"/>
          <w:szCs w:val="20"/>
        </w:rPr>
        <w:t xml:space="preserve">Searchable merchant table filtered by handler, with a "Reassign to" dropdown per row.</w:t>
      </w:r>
    </w:p>
    <w:p>
      <w:pPr>
        <w:pStyle w:val="ListParagraph"/>
        <w:numPr>
          <w:ilvl w:val="0"/>
          <w:numId w:val="1"/>
        </w:numPr>
        <w:spacing w:after="60" w:line="276"/>
      </w:pPr>
      <w:r>
        <w:rPr>
          <w:rFonts w:ascii="Calibri" w:cs="Calibri" w:eastAsia="Calibri" w:hAnsi="Calibri"/>
          <w:color w:val="3D4347"/>
          <w:sz w:val="20"/>
          <w:szCs w:val="20"/>
        </w:rPr>
        <w:t xml:space="preserve">Two-step confirmation flow: select the target handler, then confirm the transfer.</w:t>
      </w:r>
    </w:p>
    <w:p>
      <w:pPr>
        <w:pStyle w:val="ListParagraph"/>
        <w:numPr>
          <w:ilvl w:val="0"/>
          <w:numId w:val="1"/>
        </w:numPr>
        <w:spacing w:after="60" w:line="276"/>
      </w:pPr>
      <w:r>
        <w:rPr>
          <w:rFonts w:ascii="Calibri" w:cs="Calibri" w:eastAsia="Calibri" w:hAnsi="Calibri"/>
          <w:color w:val="3D4347"/>
          <w:sz w:val="20"/>
          <w:szCs w:val="20"/>
        </w:rPr>
        <w:t xml:space="preserve">On transfer, all open notifications for the merchant automatically follow it to the new handler.</w:t>
      </w:r>
    </w:p>
    <w:p>
      <w:pPr>
        <w:pStyle w:val="ListParagraph"/>
        <w:numPr>
          <w:ilvl w:val="0"/>
          <w:numId w:val="1"/>
        </w:numPr>
        <w:spacing w:after="60" w:line="276"/>
      </w:pPr>
      <w:r>
        <w:rPr>
          <w:rFonts w:ascii="Calibri" w:cs="Calibri" w:eastAsia="Calibri" w:hAnsi="Calibri"/>
          <w:color w:val="3D4347"/>
          <w:sz w:val="20"/>
          <w:szCs w:val="20"/>
        </w:rPr>
        <w:t xml:space="preserve">A transfer history timeline shows all past reassignments with from/to handler details and timestamps.</w:t>
      </w:r>
    </w:p>
    <w:p>
      <w:pPr>
        <w:pStyle w:val="ListParagraph"/>
        <w:numPr>
          <w:ilvl w:val="0"/>
          <w:numId w:val="1"/>
        </w:numPr>
        <w:spacing w:after="60" w:line="276"/>
      </w:pPr>
      <w:r>
        <w:rPr>
          <w:rFonts w:ascii="Calibri" w:cs="Calibri" w:eastAsia="Calibri" w:hAnsi="Calibri"/>
          <w:color w:val="3D4347"/>
          <w:sz w:val="20"/>
          <w:szCs w:val="20"/>
        </w:rPr>
        <w:t xml:space="preserve">Both sections are paginated (10 per page).</w:t>
      </w:r>
    </w:p>
    <w:p>
      <w:pPr>
        <w:pStyle w:val="Heading2"/>
        <w:spacing w:after="120" w:before="240"/>
      </w:pPr>
      <w:r>
        <w:rPr>
          <w:rFonts w:ascii="Georgia" w:cs="Georgia" w:eastAsia="Georgia" w:hAnsi="Georgia"/>
          <w:b w:val="false"/>
          <w:bCs w:val="false"/>
          <w:color w:val="1A1D1F"/>
          <w:sz w:val="26"/>
          <w:szCs w:val="26"/>
        </w:rPr>
        <w:t xml:space="preserve">5.5  Delivery Queue Tab</w:t>
      </w:r>
    </w:p>
    <w:p>
      <w:pPr>
        <w:spacing w:after="120" w:line="276"/>
      </w:pPr>
      <w:r>
        <w:rPr>
          <w:rFonts w:ascii="Calibri" w:cs="Calibri" w:eastAsia="Calibri" w:hAnsi="Calibri"/>
          <w:b/>
          <w:bCs/>
          <w:color w:val="0E7C6B"/>
          <w:sz w:val="18"/>
          <w:szCs w:val="18"/>
        </w:rPr>
        <w:t xml:space="preserve">[Delivery role only]</w:t>
      </w:r>
    </w:p>
    <w:p>
      <w:pPr>
        <w:spacing w:after="120" w:line="276"/>
      </w:pPr>
      <w:r>
        <w:rPr>
          <w:rFonts w:ascii="Calibri" w:cs="Calibri" w:eastAsia="Calibri" w:hAnsi="Calibri"/>
          <w:color w:val="3D4347"/>
          <w:sz w:val="20"/>
          <w:szCs w:val="20"/>
        </w:rPr>
        <w:t xml:space="preserve">When a CS handler enables the "Delivery team data" toggle during entry, a request lands in this queue. The Delivery team member then enters their own Clicks, Sales, GMV, and Revenue for the same merchant and period.</w:t>
      </w:r>
    </w:p>
    <w:p>
      <w:pPr>
        <w:pStyle w:val="ListParagraph"/>
        <w:numPr>
          <w:ilvl w:val="0"/>
          <w:numId w:val="1"/>
        </w:numPr>
        <w:spacing w:after="60" w:line="276"/>
      </w:pPr>
      <w:r>
        <w:rPr>
          <w:rFonts w:ascii="Calibri" w:cs="Calibri" w:eastAsia="Calibri" w:hAnsi="Calibri"/>
          <w:b/>
          <w:bCs/>
          <w:color w:val="1A1D1F"/>
          <w:sz w:val="20"/>
          <w:szCs w:val="20"/>
        </w:rPr>
        <w:t xml:space="preserve">Pending queue: </w:t>
      </w:r>
      <w:r>
        <w:rPr>
          <w:rFonts w:ascii="Calibri" w:cs="Calibri" w:eastAsia="Calibri" w:hAnsi="Calibri"/>
          <w:color w:val="3D4347"/>
          <w:sz w:val="20"/>
          <w:szCs w:val="20"/>
        </w:rPr>
        <w:t xml:space="preserve">list-detail layout. Left sidebar shows pending requests; right pane displays the CS team's original numbers (read-only) alongside input fields for delivery data.</w:t>
      </w:r>
    </w:p>
    <w:p>
      <w:pPr>
        <w:pStyle w:val="ListParagraph"/>
        <w:numPr>
          <w:ilvl w:val="0"/>
          <w:numId w:val="1"/>
        </w:numPr>
        <w:spacing w:after="60" w:line="276"/>
      </w:pPr>
      <w:r>
        <w:rPr>
          <w:rFonts w:ascii="Calibri" w:cs="Calibri" w:eastAsia="Calibri" w:hAnsi="Calibri"/>
          <w:b/>
          <w:bCs/>
          <w:color w:val="1A1D1F"/>
          <w:sz w:val="20"/>
          <w:szCs w:val="20"/>
        </w:rPr>
        <w:t xml:space="preserve">Delivery history: </w:t>
      </w:r>
      <w:r>
        <w:rPr>
          <w:rFonts w:ascii="Calibri" w:cs="Calibri" w:eastAsia="Calibri" w:hAnsi="Calibri"/>
          <w:color w:val="3D4347"/>
          <w:sz w:val="20"/>
          <w:szCs w:val="20"/>
        </w:rPr>
        <w:t xml:space="preserve">completed entries shown in a side-by-side comparison table (CS vs. Delivery), searchable and filterable by period.</w:t>
      </w:r>
    </w:p>
    <w:p>
      <w:pPr>
        <w:pStyle w:val="ListParagraph"/>
        <w:numPr>
          <w:ilvl w:val="0"/>
          <w:numId w:val="1"/>
        </w:numPr>
        <w:spacing w:after="60" w:line="276"/>
      </w:pPr>
      <w:r>
        <w:rPr>
          <w:rFonts w:ascii="Calibri" w:cs="Calibri" w:eastAsia="Calibri" w:hAnsi="Calibri"/>
          <w:color w:val="3D4347"/>
          <w:sz w:val="20"/>
          <w:szCs w:val="20"/>
        </w:rPr>
        <w:t xml:space="preserve">Delivery data can be edited or deleted only by the user who filled it.</w:t>
      </w:r>
    </w:p>
    <w:p>
      <w:pPr>
        <w:pStyle w:val="ListParagraph"/>
        <w:numPr>
          <w:ilvl w:val="0"/>
          <w:numId w:val="1"/>
        </w:numPr>
        <w:spacing w:after="60" w:line="276"/>
      </w:pPr>
      <w:r>
        <w:rPr>
          <w:rFonts w:ascii="Calibri" w:cs="Calibri" w:eastAsia="Calibri" w:hAnsi="Calibri"/>
          <w:color w:val="3D4347"/>
          <w:sz w:val="20"/>
          <w:szCs w:val="20"/>
        </w:rPr>
        <w:t xml:space="preserve">CR% is auto-computed for delivery data as well.</w:t>
      </w:r>
    </w:p>
    <w:p>
      <w:r>
        <w:br w:type="page"/>
      </w:r>
    </w:p>
    <w:p>
      <w:pPr>
        <w:pStyle w:val="Heading1"/>
        <w:pBdr>
          <w:bottom w:val="single" w:color="D6D3C8" w:sz="1" w:space="4"/>
        </w:pBdr>
        <w:spacing w:after="120" w:before="400"/>
      </w:pPr>
      <w:r>
        <w:rPr>
          <w:rFonts w:ascii="Georgia" w:cs="Georgia" w:eastAsia="Georgia" w:hAnsi="Georgia"/>
          <w:b w:val="false"/>
          <w:bCs w:val="false"/>
          <w:color w:val="1A1D1F"/>
          <w:sz w:val="32"/>
          <w:szCs w:val="32"/>
        </w:rPr>
        <w:t xml:space="preserve">6. Notification and Escalation System</w:t>
      </w:r>
    </w:p>
    <w:p>
      <w:pPr>
        <w:pStyle w:val="Heading2"/>
        <w:spacing w:after="120" w:before="240"/>
      </w:pPr>
      <w:r>
        <w:rPr>
          <w:rFonts w:ascii="Georgia" w:cs="Georgia" w:eastAsia="Georgia" w:hAnsi="Georgia"/>
          <w:b w:val="false"/>
          <w:bCs w:val="false"/>
          <w:color w:val="1A1D1F"/>
          <w:sz w:val="26"/>
          <w:szCs w:val="26"/>
        </w:rPr>
        <w:t xml:space="preserve">How It Works</w:t>
      </w:r>
    </w:p>
    <w:p>
      <w:pPr>
        <w:spacing w:after="120" w:line="276"/>
      </w:pPr>
      <w:r>
        <w:rPr>
          <w:rFonts w:ascii="Calibri" w:cs="Calibri" w:eastAsia="Calibri" w:hAnsi="Calibri"/>
          <w:color w:val="3D4347"/>
          <w:sz w:val="20"/>
          <w:szCs w:val="20"/>
        </w:rPr>
        <w:t xml:space="preserve">The notification system detects when a merchant's performance data is overdue based on its reporting cadence. It creates a single "case" per merchant per overdue period. As time passes without resolution, the case escalates through three stages, bringing more people into visibility.</w:t>
      </w:r>
    </w:p>
    <w:p>
      <w:pPr>
        <w:pBdr>
          <w:left w:val="single" w:color="0E7C6B" w:sz="6" w:space="8"/>
        </w:pBdr>
        <w:shd w:fill="F0EFEA" w:color="auto" w:val="clear"/>
        <w:spacing w:after="120" w:before="120"/>
        <w:ind w:left="400"/>
      </w:pPr>
      <w:r>
        <w:rPr>
          <w:rFonts w:ascii="Calibri" w:cs="Calibri" w:eastAsia="Calibri" w:hAnsi="Calibri"/>
          <w:b/>
          <w:bCs/>
          <w:color w:val="0E7C6B"/>
          <w:sz w:val="20"/>
          <w:szCs w:val="20"/>
        </w:rPr>
        <w:t xml:space="preserve">Key principle: </w:t>
      </w:r>
      <w:r>
        <w:rPr>
          <w:rFonts w:ascii="Calibri" w:cs="Calibri" w:eastAsia="Calibri" w:hAnsi="Calibri"/>
          <w:color w:val="3D4347"/>
          <w:sz w:val="19"/>
          <w:szCs w:val="19"/>
        </w:rPr>
        <w:t xml:space="preserve">Each overdue merchant-period produces exactly one notification case. That case's escalation level rises as more reporting periods are missed. Visibility is cumulative: the handler always sees it; the Manager joins at stage 2; Founders Office joins at stage 3.</w:t>
      </w:r>
    </w:p>
    <w:p>
      <w:pPr>
        <w:pStyle w:val="Heading2"/>
        <w:spacing w:after="120" w:before="240"/>
      </w:pPr>
      <w:r>
        <w:rPr>
          <w:rFonts w:ascii="Georgia" w:cs="Georgia" w:eastAsia="Georgia" w:hAnsi="Georgia"/>
          <w:b w:val="false"/>
          <w:bCs w:val="false"/>
          <w:color w:val="1A1D1F"/>
          <w:sz w:val="26"/>
          <w:szCs w:val="26"/>
        </w:rPr>
        <w:t xml:space="preserve">Escalation Stages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2135"/>
        <w:gridCol w:w="2792"/>
        <w:gridCol w:w="4434"/>
      </w:tblGrid>
      <w:tr>
        <w:trPr>
          <w:tblHeader/>
        </w:trPr>
        <w:tc>
          <w:tcPr>
            <w:tcW w:type="dxa" w:w="2135"/>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Stage</w:t>
            </w:r>
          </w:p>
        </w:tc>
        <w:tc>
          <w:tcPr>
            <w:tcW w:type="dxa" w:w="2792"/>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Who Sees It</w:t>
            </w:r>
          </w:p>
        </w:tc>
        <w:tc>
          <w:tcPr>
            <w:tcW w:type="dxa" w:w="4434"/>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Trigger</w:t>
            </w:r>
          </w:p>
        </w:tc>
      </w:tr>
      <w:tr>
        <w:tc>
          <w:tcPr>
            <w:tcW w:type="dxa" w:w="213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Stage 1</w:t>
            </w:r>
          </w:p>
        </w:tc>
        <w:tc>
          <w:tcPr>
            <w:tcW w:type="dxa" w:w="279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Handler only</w:t>
            </w:r>
          </w:p>
        </w:tc>
        <w:tc>
          <w:tcPr>
            <w:tcW w:type="dxa" w:w="443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First missed reporting period</w:t>
            </w:r>
          </w:p>
        </w:tc>
      </w:tr>
      <w:tr>
        <w:tc>
          <w:tcPr>
            <w:tcW w:type="dxa" w:w="213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Stage 2</w:t>
            </w:r>
          </w:p>
        </w:tc>
        <w:tc>
          <w:tcPr>
            <w:tcW w:type="dxa" w:w="279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Handler + Manager</w:t>
            </w:r>
          </w:p>
        </w:tc>
        <w:tc>
          <w:tcPr>
            <w:tcW w:type="dxa" w:w="443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Second missed reporting period</w:t>
            </w:r>
          </w:p>
        </w:tc>
      </w:tr>
      <w:tr>
        <w:tc>
          <w:tcPr>
            <w:tcW w:type="dxa" w:w="213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Stage 3+</w:t>
            </w:r>
          </w:p>
        </w:tc>
        <w:tc>
          <w:tcPr>
            <w:tcW w:type="dxa" w:w="279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Handler + Manager + Founders Office</w:t>
            </w:r>
          </w:p>
        </w:tc>
        <w:tc>
          <w:tcPr>
            <w:tcW w:type="dxa" w:w="443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Third or later missed reporting period</w:t>
            </w:r>
          </w:p>
        </w:tc>
      </w:tr>
    </w:tbl>
    <w:p>
      <w:pPr>
        <w:pStyle w:val="Heading2"/>
        <w:spacing w:after="120" w:before="240"/>
      </w:pPr>
      <w:r>
        <w:rPr>
          <w:rFonts w:ascii="Georgia" w:cs="Georgia" w:eastAsia="Georgia" w:hAnsi="Georgia"/>
          <w:b w:val="false"/>
          <w:bCs w:val="false"/>
          <w:color w:val="1A1D1F"/>
          <w:sz w:val="26"/>
          <w:szCs w:val="26"/>
        </w:rPr>
        <w:t xml:space="preserve">Resolution Paths</w:t>
      </w:r>
    </w:p>
    <w:p>
      <w:pPr>
        <w:spacing w:after="120" w:line="276"/>
      </w:pPr>
      <w:r>
        <w:rPr>
          <w:rFonts w:ascii="Calibri" w:cs="Calibri" w:eastAsia="Calibri" w:hAnsi="Calibri"/>
          <w:color w:val="3D4347"/>
          <w:sz w:val="20"/>
          <w:szCs w:val="20"/>
        </w:rPr>
        <w:t xml:space="preserve">Every overdue case ends through one of these three paths:</w:t>
      </w:r>
    </w:p>
    <w:p>
      <w:pPr>
        <w:pStyle w:val="ListParagraph"/>
        <w:numPr>
          <w:ilvl w:val="0"/>
          <w:numId w:val="1"/>
        </w:numPr>
        <w:spacing w:after="60" w:line="276"/>
      </w:pPr>
      <w:r>
        <w:rPr>
          <w:rFonts w:ascii="Calibri" w:cs="Calibri" w:eastAsia="Calibri" w:hAnsi="Calibri"/>
          <w:b/>
          <w:bCs/>
          <w:color w:val="1A1D1F"/>
          <w:sz w:val="20"/>
          <w:szCs w:val="20"/>
        </w:rPr>
        <w:t xml:space="preserve">Data entered: </w:t>
      </w:r>
      <w:r>
        <w:rPr>
          <w:rFonts w:ascii="Calibri" w:cs="Calibri" w:eastAsia="Calibri" w:hAnsi="Calibri"/>
          <w:color w:val="3D4347"/>
          <w:sz w:val="20"/>
          <w:szCs w:val="20"/>
        </w:rPr>
        <w:t xml:space="preserve">When the handler submits performance data for the merchant, all open cases for that merchant are automatically marked as resolved.</w:t>
      </w:r>
    </w:p>
    <w:p>
      <w:pPr>
        <w:pStyle w:val="ListParagraph"/>
        <w:numPr>
          <w:ilvl w:val="0"/>
          <w:numId w:val="1"/>
        </w:numPr>
        <w:spacing w:after="60" w:line="276"/>
      </w:pPr>
      <w:r>
        <w:rPr>
          <w:rFonts w:ascii="Calibri" w:cs="Calibri" w:eastAsia="Calibri" w:hAnsi="Calibri"/>
          <w:b/>
          <w:bCs/>
          <w:color w:val="1A1D1F"/>
          <w:sz w:val="20"/>
          <w:szCs w:val="20"/>
        </w:rPr>
        <w:t xml:space="preserve">Reason approved: </w:t>
      </w:r>
      <w:r>
        <w:rPr>
          <w:rFonts w:ascii="Calibri" w:cs="Calibri" w:eastAsia="Calibri" w:hAnsi="Calibri"/>
          <w:color w:val="3D4347"/>
          <w:sz w:val="20"/>
          <w:szCs w:val="20"/>
        </w:rPr>
        <w:t xml:space="preserve">The handler writes a reason explaining why data is missing. The Manager or Founders Office reviews it and approves it, which closes the case permanently.</w:t>
      </w:r>
    </w:p>
    <w:p>
      <w:pPr>
        <w:pStyle w:val="ListParagraph"/>
        <w:numPr>
          <w:ilvl w:val="0"/>
          <w:numId w:val="1"/>
        </w:numPr>
        <w:spacing w:after="60" w:line="276"/>
      </w:pPr>
      <w:r>
        <w:rPr>
          <w:rFonts w:ascii="Calibri" w:cs="Calibri" w:eastAsia="Calibri" w:hAnsi="Calibri"/>
          <w:b/>
          <w:bCs/>
          <w:color w:val="1A1D1F"/>
          <w:sz w:val="20"/>
          <w:szCs w:val="20"/>
        </w:rPr>
        <w:t xml:space="preserve">Reason rejected: </w:t>
      </w:r>
      <w:r>
        <w:rPr>
          <w:rFonts w:ascii="Calibri" w:cs="Calibri" w:eastAsia="Calibri" w:hAnsi="Calibri"/>
          <w:color w:val="3D4347"/>
          <w:sz w:val="20"/>
          <w:szCs w:val="20"/>
        </w:rPr>
        <w:t xml:space="preserve">The reviewer rejects the reason. The case stays open, the handler can submit a new reason or enter data, and the escalation level continues to rise with each missed period.</w:t>
      </w:r>
    </w:p>
    <w:p>
      <w:pPr>
        <w:pStyle w:val="Heading2"/>
        <w:spacing w:after="120" w:before="240"/>
      </w:pPr>
      <w:r>
        <w:rPr>
          <w:rFonts w:ascii="Georgia" w:cs="Georgia" w:eastAsia="Georgia" w:hAnsi="Georgia"/>
          <w:b w:val="false"/>
          <w:bCs w:val="false"/>
          <w:color w:val="1A1D1F"/>
          <w:sz w:val="26"/>
          <w:szCs w:val="26"/>
        </w:rPr>
        <w:t xml:space="preserve">Notification Interface</w:t>
      </w:r>
    </w:p>
    <w:p>
      <w:pPr>
        <w:pStyle w:val="ListParagraph"/>
        <w:numPr>
          <w:ilvl w:val="0"/>
          <w:numId w:val="1"/>
        </w:numPr>
        <w:spacing w:after="60" w:line="276"/>
      </w:pPr>
      <w:r>
        <w:rPr>
          <w:rFonts w:ascii="Calibri" w:cs="Calibri" w:eastAsia="Calibri" w:hAnsi="Calibri"/>
          <w:b/>
          <w:bCs/>
          <w:color w:val="1A1D1F"/>
          <w:sz w:val="20"/>
          <w:szCs w:val="20"/>
        </w:rPr>
        <w:t xml:space="preserve">Bell icon </w:t>
      </w:r>
      <w:r>
        <w:rPr>
          <w:rFonts w:ascii="Calibri" w:cs="Calibri" w:eastAsia="Calibri" w:hAnsi="Calibri"/>
          <w:color w:val="3D4347"/>
          <w:sz w:val="20"/>
          <w:szCs w:val="20"/>
        </w:rPr>
        <w:t xml:space="preserve">in the header with an unread badge count.</w:t>
      </w:r>
    </w:p>
    <w:p>
      <w:pPr>
        <w:pStyle w:val="ListParagraph"/>
        <w:numPr>
          <w:ilvl w:val="0"/>
          <w:numId w:val="1"/>
        </w:numPr>
        <w:spacing w:after="60" w:line="276"/>
      </w:pPr>
      <w:r>
        <w:rPr>
          <w:rFonts w:ascii="Calibri" w:cs="Calibri" w:eastAsia="Calibri" w:hAnsi="Calibri"/>
          <w:b/>
          <w:bCs/>
          <w:color w:val="1A1D1F"/>
          <w:sz w:val="20"/>
          <w:szCs w:val="20"/>
        </w:rPr>
        <w:t xml:space="preserve">Slide-out drawer </w:t>
      </w:r>
      <w:r>
        <w:rPr>
          <w:rFonts w:ascii="Calibri" w:cs="Calibri" w:eastAsia="Calibri" w:hAnsi="Calibri"/>
          <w:color w:val="3D4347"/>
          <w:sz w:val="20"/>
          <w:szCs w:val="20"/>
        </w:rPr>
        <w:t xml:space="preserve">divided into "Needs your action" and "History" sections.</w:t>
      </w:r>
    </w:p>
    <w:p>
      <w:pPr>
        <w:pStyle w:val="ListParagraph"/>
        <w:numPr>
          <w:ilvl w:val="0"/>
          <w:numId w:val="1"/>
        </w:numPr>
        <w:spacing w:after="60" w:line="276"/>
      </w:pPr>
      <w:r>
        <w:rPr>
          <w:rFonts w:ascii="Calibri" w:cs="Calibri" w:eastAsia="Calibri" w:hAnsi="Calibri"/>
          <w:color w:val="3D4347"/>
          <w:sz w:val="20"/>
          <w:szCs w:val="20"/>
        </w:rPr>
        <w:t xml:space="preserve">Each notification card shows: handler avatar, merchant name, overdue message, status chip, escalation route chip (color-coded by stage: grey, amber, or red), and timestamp.</w:t>
      </w:r>
    </w:p>
    <w:p>
      <w:pPr>
        <w:pStyle w:val="ListParagraph"/>
        <w:numPr>
          <w:ilvl w:val="0"/>
          <w:numId w:val="1"/>
        </w:numPr>
        <w:spacing w:after="60" w:line="276"/>
      </w:pPr>
      <w:r>
        <w:rPr>
          <w:rFonts w:ascii="Calibri" w:cs="Calibri" w:eastAsia="Calibri" w:hAnsi="Calibri"/>
          <w:color w:val="3D4347"/>
          <w:sz w:val="20"/>
          <w:szCs w:val="20"/>
        </w:rPr>
        <w:t xml:space="preserve">Handlers see a reason text input on pending and rejected cards.</w:t>
      </w:r>
    </w:p>
    <w:p>
      <w:pPr>
        <w:pStyle w:val="ListParagraph"/>
        <w:numPr>
          <w:ilvl w:val="0"/>
          <w:numId w:val="1"/>
        </w:numPr>
        <w:spacing w:after="60" w:line="276"/>
      </w:pPr>
      <w:r>
        <w:rPr>
          <w:rFonts w:ascii="Calibri" w:cs="Calibri" w:eastAsia="Calibri" w:hAnsi="Calibri"/>
          <w:color w:val="3D4347"/>
          <w:sz w:val="20"/>
          <w:szCs w:val="20"/>
        </w:rPr>
        <w:t xml:space="preserve">Managers and Founders Office see Approve/Reject buttons on submitted reasons.</w:t>
      </w:r>
    </w:p>
    <w:p>
      <w:pPr>
        <w:pStyle w:val="ListParagraph"/>
        <w:numPr>
          <w:ilvl w:val="0"/>
          <w:numId w:val="1"/>
        </w:numPr>
        <w:spacing w:after="60" w:line="276"/>
      </w:pPr>
      <w:r>
        <w:rPr>
          <w:rFonts w:ascii="Calibri" w:cs="Calibri" w:eastAsia="Calibri" w:hAnsi="Calibri"/>
          <w:color w:val="3D4347"/>
          <w:sz w:val="20"/>
          <w:szCs w:val="20"/>
        </w:rPr>
        <w:t xml:space="preserve">Search and period filters within the drawer.</w:t>
      </w:r>
    </w:p>
    <w:p>
      <w:pPr>
        <w:pStyle w:val="Heading2"/>
        <w:spacing w:after="120" w:before="240"/>
      </w:pPr>
      <w:r>
        <w:rPr>
          <w:rFonts w:ascii="Georgia" w:cs="Georgia" w:eastAsia="Georgia" w:hAnsi="Georgia"/>
          <w:b w:val="false"/>
          <w:bCs w:val="false"/>
          <w:color w:val="1A1D1F"/>
          <w:sz w:val="26"/>
          <w:szCs w:val="26"/>
        </w:rPr>
        <w:t xml:space="preserve">Reporting Cadence and Overdue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Reporting Cadence</w:t>
            </w:r>
          </w:p>
        </w:tc>
        <w:tc>
          <w:tcPr>
            <w:tcW w:type="dxa" w:w="2160"/>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Type</w:t>
            </w:r>
          </w:p>
        </w:tc>
        <w:tc>
          <w:tcPr>
            <w:tcW w:type="dxa" w:w="2160"/>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Step Size</w:t>
            </w:r>
          </w:p>
        </w:tc>
        <w:tc>
          <w:tcPr>
            <w:tcW w:type="dxa" w:w="2160"/>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Grace Period</w:t>
            </w:r>
          </w:p>
        </w:tc>
      </w:tr>
      <w:tr>
        <w:tc>
          <w:tcPr>
            <w:tcW w:type="dxa" w:w="28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Live daily</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Day-based</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1 day</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2 days</w:t>
            </w:r>
          </w:p>
        </w:tc>
      </w:tr>
      <w:tr>
        <w:tc>
          <w:tcPr>
            <w:tcW w:type="dxa" w:w="28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2/week</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Day-based</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3 days</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2 days</w:t>
            </w:r>
          </w:p>
        </w:tc>
      </w:tr>
      <w:tr>
        <w:tc>
          <w:tcPr>
            <w:tcW w:type="dxa" w:w="28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3/week</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Day-based</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2 days</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2 days</w:t>
            </w:r>
          </w:p>
        </w:tc>
      </w:tr>
      <w:tr>
        <w:tc>
          <w:tcPr>
            <w:tcW w:type="dxa" w:w="28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Weekly</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Day-based</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7 days</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2 days</w:t>
            </w:r>
          </w:p>
        </w:tc>
      </w:tr>
      <w:tr>
        <w:tc>
          <w:tcPr>
            <w:tcW w:type="dxa" w:w="28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Monthly</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Month-based</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1 month</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None</w:t>
            </w:r>
          </w:p>
        </w:tc>
      </w:tr>
      <w:tr>
        <w:tc>
          <w:tcPr>
            <w:tcW w:type="dxa" w:w="28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60 days</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Month-based</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2 months</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None</w:t>
            </w:r>
          </w:p>
        </w:tc>
      </w:tr>
      <w:tr>
        <w:tc>
          <w:tcPr>
            <w:tcW w:type="dxa" w:w="28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90 days</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Month-based</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3 months</w:t>
            </w:r>
          </w:p>
        </w:tc>
        <w:tc>
          <w:tcPr>
            <w:tcW w:type="dxa" w:w="216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None</w:t>
            </w:r>
          </w:p>
        </w:tc>
      </w:tr>
    </w:tbl>
    <w:p>
      <w:pPr>
        <w:spacing w:after="80"/>
      </w:pPr>
    </w:p>
    <w:p>
      <w:pPr>
        <w:spacing w:after="120" w:line="276"/>
      </w:pPr>
      <w:r>
        <w:rPr>
          <w:rFonts w:ascii="Calibri" w:cs="Calibri" w:eastAsia="Calibri" w:hAnsi="Calibri"/>
          <w:color w:val="3D4347"/>
          <w:sz w:val="20"/>
          <w:szCs w:val="20"/>
        </w:rPr>
        <w:t xml:space="preserve">For month-based cadences, the system checks against the last completed reporting month. For day-based cadences, it checks against the actual date of the last entry, with a 2-day grace period. Merchants with no entries at all are considered overdue from their onboarding date.</w:t>
      </w:r>
    </w:p>
    <w:p>
      <w:pPr>
        <w:pStyle w:val="Heading2"/>
        <w:spacing w:after="120" w:before="240"/>
      </w:pPr>
      <w:r>
        <w:rPr>
          <w:rFonts w:ascii="Georgia" w:cs="Georgia" w:eastAsia="Georgia" w:hAnsi="Georgia"/>
          <w:b w:val="false"/>
          <w:bCs w:val="false"/>
          <w:color w:val="1A1D1F"/>
          <w:sz w:val="26"/>
          <w:szCs w:val="26"/>
        </w:rPr>
        <w:t xml:space="preserve">Dev Time Machine</w:t>
      </w:r>
    </w:p>
    <w:p>
      <w:pPr>
        <w:spacing w:after="120" w:line="276"/>
      </w:pPr>
      <w:r>
        <w:rPr>
          <w:rFonts w:ascii="Calibri" w:cs="Calibri" w:eastAsia="Calibri" w:hAnsi="Calibri"/>
          <w:b/>
          <w:bCs/>
          <w:color w:val="0E7C6B"/>
          <w:sz w:val="18"/>
          <w:szCs w:val="18"/>
        </w:rPr>
        <w:t xml:space="preserve">[Development mode only]</w:t>
      </w:r>
    </w:p>
    <w:p>
      <w:pPr>
        <w:spacing w:after="120" w:line="276"/>
      </w:pPr>
      <w:r>
        <w:rPr>
          <w:rFonts w:ascii="Calibri" w:cs="Calibri" w:eastAsia="Calibri" w:hAnsi="Calibri"/>
          <w:color w:val="3D4347"/>
          <w:sz w:val="20"/>
          <w:szCs w:val="20"/>
        </w:rPr>
        <w:t xml:space="preserve">In development mode, a time machine bar appears inside the notification drawer. It provides buttons to shift the simulated date forward or backward by one month, or reset to the real date. This allows developers and testers to preview the full escalation flow across months without waiting. The time machine is fully reversible and never deletes data.</w:t>
      </w:r>
    </w:p>
    <w:p>
      <w:r>
        <w:br w:type="page"/>
      </w:r>
    </w:p>
    <w:p>
      <w:pPr>
        <w:pStyle w:val="Heading1"/>
        <w:pBdr>
          <w:bottom w:val="single" w:color="D6D3C8" w:sz="1" w:space="4"/>
        </w:pBdr>
        <w:spacing w:after="120" w:before="400"/>
      </w:pPr>
      <w:r>
        <w:rPr>
          <w:rFonts w:ascii="Georgia" w:cs="Georgia" w:eastAsia="Georgia" w:hAnsi="Georgia"/>
          <w:b w:val="false"/>
          <w:bCs w:val="false"/>
          <w:color w:val="1A1D1F"/>
          <w:sz w:val="32"/>
          <w:szCs w:val="32"/>
        </w:rPr>
        <w:t xml:space="preserve">7. Reporting and Analytics</w:t>
      </w:r>
    </w:p>
    <w:p>
      <w:pPr>
        <w:pStyle w:val="Heading2"/>
        <w:spacing w:after="120" w:before="240"/>
      </w:pPr>
      <w:r>
        <w:rPr>
          <w:rFonts w:ascii="Georgia" w:cs="Georgia" w:eastAsia="Georgia" w:hAnsi="Georgia"/>
          <w:b w:val="false"/>
          <w:bCs w:val="false"/>
          <w:color w:val="1A1D1F"/>
          <w:sz w:val="26"/>
          <w:szCs w:val="26"/>
        </w:rPr>
        <w:t xml:space="preserve">Portfolio Overview</w:t>
      </w:r>
    </w:p>
    <w:p>
      <w:pPr>
        <w:spacing w:after="120" w:line="276"/>
      </w:pPr>
      <w:r>
        <w:rPr>
          <w:rFonts w:ascii="Calibri" w:cs="Calibri" w:eastAsia="Calibri" w:hAnsi="Calibri"/>
          <w:color w:val="3D4347"/>
          <w:sz w:val="20"/>
          <w:szCs w:val="20"/>
        </w:rPr>
        <w:t xml:space="preserve">The Data View tab provides a comprehensive portfolio-level view that includes:</w:t>
      </w:r>
    </w:p>
    <w:p>
      <w:pPr>
        <w:pStyle w:val="ListParagraph"/>
        <w:numPr>
          <w:ilvl w:val="0"/>
          <w:numId w:val="1"/>
        </w:numPr>
        <w:spacing w:after="60" w:line="276"/>
      </w:pPr>
      <w:r>
        <w:rPr>
          <w:rFonts w:ascii="Calibri" w:cs="Calibri" w:eastAsia="Calibri" w:hAnsi="Calibri"/>
          <w:b/>
          <w:bCs/>
          <w:color w:val="1A1D1F"/>
          <w:sz w:val="20"/>
          <w:szCs w:val="20"/>
        </w:rPr>
        <w:t xml:space="preserve">Monthly aggregate totals: </w:t>
      </w:r>
      <w:r>
        <w:rPr>
          <w:rFonts w:ascii="Calibri" w:cs="Calibri" w:eastAsia="Calibri" w:hAnsi="Calibri"/>
          <w:color w:val="3D4347"/>
          <w:sz w:val="20"/>
          <w:szCs w:val="20"/>
        </w:rPr>
        <w:t xml:space="preserve">portfolio-level Clicks, Sales, CR%, GMV, and Revenue for each month in the selected window.</w:t>
      </w:r>
    </w:p>
    <w:p>
      <w:pPr>
        <w:pStyle w:val="ListParagraph"/>
        <w:numPr>
          <w:ilvl w:val="0"/>
          <w:numId w:val="1"/>
        </w:numPr>
        <w:spacing w:after="60" w:line="276"/>
      </w:pPr>
      <w:r>
        <w:rPr>
          <w:rFonts w:ascii="Calibri" w:cs="Calibri" w:eastAsia="Calibri" w:hAnsi="Calibri"/>
          <w:b/>
          <w:bCs/>
          <w:color w:val="1A1D1F"/>
          <w:sz w:val="20"/>
          <w:szCs w:val="20"/>
        </w:rPr>
        <w:t xml:space="preserve">Window totals: </w:t>
      </w:r>
      <w:r>
        <w:rPr>
          <w:rFonts w:ascii="Calibri" w:cs="Calibri" w:eastAsia="Calibri" w:hAnsi="Calibri"/>
          <w:color w:val="3D4347"/>
          <w:sz w:val="20"/>
          <w:szCs w:val="20"/>
        </w:rPr>
        <w:t xml:space="preserve">summed values across the entire date range, with CR% computed from aggregate sales and clicks.</w:t>
      </w:r>
    </w:p>
    <w:p>
      <w:pPr>
        <w:pStyle w:val="ListParagraph"/>
        <w:numPr>
          <w:ilvl w:val="0"/>
          <w:numId w:val="1"/>
        </w:numPr>
        <w:spacing w:after="60" w:line="276"/>
      </w:pPr>
      <w:r>
        <w:rPr>
          <w:rFonts w:ascii="Calibri" w:cs="Calibri" w:eastAsia="Calibri" w:hAnsi="Calibri"/>
          <w:b/>
          <w:bCs/>
          <w:color w:val="1A1D1F"/>
          <w:sz w:val="20"/>
          <w:szCs w:val="20"/>
        </w:rPr>
        <w:t xml:space="preserve">Previous-period comparison: </w:t>
      </w:r>
      <w:r>
        <w:rPr>
          <w:rFonts w:ascii="Calibri" w:cs="Calibri" w:eastAsia="Calibri" w:hAnsi="Calibri"/>
          <w:color w:val="3D4347"/>
          <w:sz w:val="20"/>
          <w:szCs w:val="20"/>
        </w:rPr>
        <w:t xml:space="preserve">the same metrics for the equally-long window immediately before the selected range, enabling period-over-period delta percentages (e.g., "+12% clicks vs. prior period").</w:t>
      </w:r>
    </w:p>
    <w:p>
      <w:pPr>
        <w:pStyle w:val="ListParagraph"/>
        <w:numPr>
          <w:ilvl w:val="0"/>
          <w:numId w:val="1"/>
        </w:numPr>
        <w:spacing w:after="60" w:line="276"/>
      </w:pPr>
      <w:r>
        <w:rPr>
          <w:rFonts w:ascii="Calibri" w:cs="Calibri" w:eastAsia="Calibri" w:hAnsi="Calibri"/>
          <w:b/>
          <w:bCs/>
          <w:color w:val="1A1D1F"/>
          <w:sz w:val="20"/>
          <w:szCs w:val="20"/>
        </w:rPr>
        <w:t xml:space="preserve">Per-merchant breakdown: </w:t>
      </w:r>
      <w:r>
        <w:rPr>
          <w:rFonts w:ascii="Calibri" w:cs="Calibri" w:eastAsia="Calibri" w:hAnsi="Calibri"/>
          <w:color w:val="3D4347"/>
          <w:sz w:val="20"/>
          <w:szCs w:val="20"/>
        </w:rPr>
        <w:t xml:space="preserve">one row per merchant, with a cell for each completed month containing all five metrics.</w:t>
      </w:r>
    </w:p>
    <w:p>
      <w:pPr>
        <w:pStyle w:val="Heading2"/>
        <w:spacing w:after="120" w:before="240"/>
      </w:pPr>
      <w:r>
        <w:rPr>
          <w:rFonts w:ascii="Georgia" w:cs="Georgia" w:eastAsia="Georgia" w:hAnsi="Georgia"/>
          <w:b w:val="false"/>
          <w:bCs w:val="false"/>
          <w:color w:val="1A1D1F"/>
          <w:sz w:val="26"/>
          <w:szCs w:val="26"/>
        </w:rPr>
        <w:t xml:space="preserve">Analytics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Mode</w:t>
            </w:r>
          </w:p>
        </w:tc>
        <w:tc>
          <w:tcPr>
            <w:tcW w:type="dxa" w:w="6552"/>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What It Shows</w:t>
            </w:r>
          </w:p>
        </w:tc>
      </w:tr>
      <w:tr>
        <w:tc>
          <w:tcPr>
            <w:tcW w:type="dxa" w:w="2808"/>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Overview</w:t>
            </w:r>
          </w:p>
        </w:tc>
        <w:tc>
          <w:tcPr>
            <w:tcW w:type="dxa" w:w="655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Averaged across all Revenue merchants in a handler's book or the entire portfolio</w:t>
            </w:r>
          </w:p>
        </w:tc>
      </w:tr>
      <w:tr>
        <w:tc>
          <w:tcPr>
            <w:tcW w:type="dxa" w:w="2808"/>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Brand / Brand Comparison</w:t>
            </w:r>
          </w:p>
        </w:tc>
        <w:tc>
          <w:tcPr>
            <w:tcW w:type="dxa" w:w="655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One or more specific brands, each as its own data series</w:t>
            </w:r>
          </w:p>
        </w:tc>
      </w:tr>
      <w:tr>
        <w:tc>
          <w:tcPr>
            <w:tcW w:type="dxa" w:w="2808"/>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Category / Category Comparison</w:t>
            </w:r>
          </w:p>
        </w:tc>
        <w:tc>
          <w:tcPr>
            <w:tcW w:type="dxa" w:w="655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One or more categories, with optional handler scoping</w:t>
            </w:r>
          </w:p>
        </w:tc>
      </w:tr>
    </w:tbl>
    <w:p>
      <w:pPr>
        <w:pStyle w:val="Heading2"/>
        <w:spacing w:after="120" w:before="240"/>
      </w:pPr>
      <w:r>
        <w:rPr>
          <w:rFonts w:ascii="Georgia" w:cs="Georgia" w:eastAsia="Georgia" w:hAnsi="Georgia"/>
          <w:b w:val="false"/>
          <w:bCs w:val="false"/>
          <w:color w:val="1A1D1F"/>
          <w:sz w:val="26"/>
          <w:szCs w:val="26"/>
        </w:rPr>
        <w:t xml:space="preserve">Display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4"/>
        <w:gridCol w:w="3432"/>
        <w:gridCol w:w="3744"/>
      </w:tblGrid>
      <w:tr>
        <w:trPr>
          <w:tblHeader/>
        </w:trPr>
        <w:tc>
          <w:tcPr>
            <w:tcW w:type="dxa" w:w="2184"/>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Metric</w:t>
            </w:r>
          </w:p>
        </w:tc>
        <w:tc>
          <w:tcPr>
            <w:tcW w:type="dxa" w:w="3432"/>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Format</w:t>
            </w:r>
          </w:p>
        </w:tc>
        <w:tc>
          <w:tcPr>
            <w:tcW w:type="dxa" w:w="3744"/>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Examples</w:t>
            </w:r>
          </w:p>
        </w:tc>
      </w:tr>
      <w:tr>
        <w:tc>
          <w:tcPr>
            <w:tcW w:type="dxa" w:w="21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Clicks, Sales</w:t>
            </w:r>
          </w:p>
        </w:tc>
        <w:tc>
          <w:tcPr>
            <w:tcW w:type="dxa" w:w="343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Abbreviated count (K, M)</w:t>
            </w:r>
          </w:p>
        </w:tc>
        <w:tc>
          <w:tcPr>
            <w:tcW w:type="dxa" w:w="374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2.80M, 14.5K, 892</w:t>
            </w:r>
          </w:p>
        </w:tc>
      </w:tr>
      <w:tr>
        <w:tc>
          <w:tcPr>
            <w:tcW w:type="dxa" w:w="21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CR%</w:t>
            </w:r>
          </w:p>
        </w:tc>
        <w:tc>
          <w:tcPr>
            <w:tcW w:type="dxa" w:w="343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Percentage to 2 decimal places</w:t>
            </w:r>
          </w:p>
        </w:tc>
        <w:tc>
          <w:tcPr>
            <w:tcW w:type="dxa" w:w="374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6.42%, 12.08%</w:t>
            </w:r>
          </w:p>
        </w:tc>
      </w:tr>
      <w:tr>
        <w:tc>
          <w:tcPr>
            <w:tcW w:type="dxa" w:w="21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GMV, Revenue</w:t>
            </w:r>
          </w:p>
        </w:tc>
        <w:tc>
          <w:tcPr>
            <w:tcW w:type="dxa" w:w="343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Indian currency (Rupees with L and Cr units)</w:t>
            </w:r>
          </w:p>
        </w:tc>
        <w:tc>
          <w:tcPr>
            <w:tcW w:type="dxa" w:w="374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Rs. 4.21Cr, Rs. 18.50L</w:t>
            </w:r>
          </w:p>
        </w:tc>
      </w:tr>
      <w:tr>
        <w:tc>
          <w:tcPr>
            <w:tcW w:type="dxa" w:w="21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Timestamps</w:t>
            </w:r>
          </w:p>
        </w:tc>
        <w:tc>
          <w:tcPr>
            <w:tcW w:type="dxa" w:w="343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24-hour railway format</w:t>
            </w:r>
          </w:p>
        </w:tc>
        <w:tc>
          <w:tcPr>
            <w:tcW w:type="dxa" w:w="374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19 Jul 2026, 16:53</w:t>
            </w:r>
          </w:p>
        </w:tc>
      </w:tr>
    </w:tbl>
    <w:p>
      <w:pPr>
        <w:pStyle w:val="Heading2"/>
        <w:spacing w:after="120" w:before="240"/>
      </w:pPr>
      <w:r>
        <w:rPr>
          <w:rFonts w:ascii="Georgia" w:cs="Georgia" w:eastAsia="Georgia" w:hAnsi="Georgia"/>
          <w:b w:val="false"/>
          <w:bCs w:val="false"/>
          <w:color w:val="1A1D1F"/>
          <w:sz w:val="26"/>
          <w:szCs w:val="26"/>
        </w:rPr>
        <w:t xml:space="preserve">CSV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2184"/>
        <w:gridCol w:w="4680"/>
      </w:tblGrid>
      <w:tr>
        <w:trPr>
          <w:tblHeader/>
        </w:trPr>
        <w:tc>
          <w:tcPr>
            <w:tcW w:type="dxa" w:w="2496"/>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Export</w:t>
            </w:r>
          </w:p>
        </w:tc>
        <w:tc>
          <w:tcPr>
            <w:tcW w:type="dxa" w:w="2184"/>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Source Tab</w:t>
            </w:r>
          </w:p>
        </w:tc>
        <w:tc>
          <w:tcPr>
            <w:tcW w:type="dxa" w:w="4680"/>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Contents</w:t>
            </w:r>
          </w:p>
        </w:tc>
      </w:tr>
      <w:tr>
        <w:tc>
          <w:tcPr>
            <w:tcW w:type="dxa" w:w="2496"/>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Entry logs</w:t>
            </w:r>
          </w:p>
        </w:tc>
        <w:tc>
          <w:tcPr>
            <w:tcW w:type="dxa" w:w="21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Data Entry</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All entries matching the current filters</w:t>
            </w:r>
          </w:p>
        </w:tc>
      </w:tr>
      <w:tr>
        <w:tc>
          <w:tcPr>
            <w:tcW w:type="dxa" w:w="2496"/>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Merchant breakdown</w:t>
            </w:r>
          </w:p>
        </w:tc>
        <w:tc>
          <w:tcPr>
            <w:tcW w:type="dxa" w:w="21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Data View</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Per-merchant, per-month metric table</w:t>
            </w:r>
          </w:p>
        </w:tc>
      </w:tr>
      <w:tr>
        <w:tc>
          <w:tcPr>
            <w:tcW w:type="dxa" w:w="2496"/>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Merchant info</w:t>
            </w:r>
          </w:p>
        </w:tc>
        <w:tc>
          <w:tcPr>
            <w:tcW w:type="dxa" w:w="21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Merchant Info</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Full merchant registry as currently filtered</w:t>
            </w:r>
          </w:p>
        </w:tc>
      </w:tr>
      <w:tr>
        <w:tc>
          <w:tcPr>
            <w:tcW w:type="dxa" w:w="2496"/>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Merchant edit history</w:t>
            </w:r>
          </w:p>
        </w:tc>
        <w:tc>
          <w:tcPr>
            <w:tcW w:type="dxa" w:w="2184"/>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Merchant Info</w:t>
            </w:r>
          </w:p>
        </w:tc>
        <w:tc>
          <w:tcPr>
            <w:tcW w:type="dxa" w:w="468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All field changes within the selected date range</w:t>
            </w:r>
          </w:p>
        </w:tc>
      </w:tr>
    </w:tbl>
    <w:p>
      <w:pPr>
        <w:pStyle w:val="Heading1"/>
        <w:pBdr>
          <w:bottom w:val="single" w:color="D6D3C8" w:sz="1" w:space="4"/>
        </w:pBdr>
        <w:spacing w:after="120" w:before="400"/>
      </w:pPr>
      <w:r>
        <w:rPr>
          <w:rFonts w:ascii="Georgia" w:cs="Georgia" w:eastAsia="Georgia" w:hAnsi="Georgia"/>
          <w:b w:val="false"/>
          <w:bCs w:val="false"/>
          <w:color w:val="1A1D1F"/>
          <w:sz w:val="32"/>
          <w:szCs w:val="32"/>
        </w:rPr>
        <w:t xml:space="preserve">8. Audit Trails and History</w:t>
      </w:r>
    </w:p>
    <w:p>
      <w:pPr>
        <w:spacing w:after="120" w:line="276"/>
      </w:pPr>
      <w:r>
        <w:rPr>
          <w:rFonts w:ascii="Calibri" w:cs="Calibri" w:eastAsia="Calibri" w:hAnsi="Calibri"/>
          <w:color w:val="3D4347"/>
          <w:sz w:val="20"/>
          <w:szCs w:val="20"/>
        </w:rPr>
        <w:t xml:space="preserve">CR Portal maintains four separate audit trails to ensure full accountability:</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47"/>
        <w:gridCol w:w="3802"/>
        <w:gridCol w:w="3510"/>
      </w:tblGrid>
      <w:tr>
        <w:trPr>
          <w:tblHeader/>
        </w:trPr>
        <w:tc>
          <w:tcPr>
            <w:tcW w:type="dxa" w:w="2047"/>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Audit Trail</w:t>
            </w:r>
          </w:p>
        </w:tc>
        <w:tc>
          <w:tcPr>
            <w:tcW w:type="dxa" w:w="3802"/>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What It Tracks</w:t>
            </w:r>
          </w:p>
        </w:tc>
        <w:tc>
          <w:tcPr>
            <w:tcW w:type="dxa" w:w="3510"/>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Where It Is Viewed</w:t>
            </w:r>
          </w:p>
        </w:tc>
      </w:tr>
      <w:tr>
        <w:tc>
          <w:tcPr>
            <w:tcW w:type="dxa" w:w="204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Entry Edit Log</w:t>
            </w:r>
          </w:p>
        </w:tc>
        <w:tc>
          <w:tcPr>
            <w:tcW w:type="dxa" w:w="380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Changes to performance data entries (clicks, sales, GMV, revenue, remarks, entry date). Stores old and new values for each changed field.</w:t>
            </w:r>
          </w:p>
        </w:tc>
        <w:tc>
          <w:tcPr>
            <w:tcW w:type="dxa" w:w="351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"Edit History" modal in the Data Entry tab, filterable by handler, merchant, and date range</w:t>
            </w:r>
          </w:p>
        </w:tc>
      </w:tr>
      <w:tr>
        <w:tc>
          <w:tcPr>
            <w:tcW w:type="dxa" w:w="204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Merchant Edit Log</w:t>
            </w:r>
          </w:p>
        </w:tc>
        <w:tc>
          <w:tcPr>
            <w:tcW w:type="dxa" w:w="380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Changes to a merchant's own fields (category, sub-category, reporting, payout, deal type, handler). Stores old and new values as a structured diff.</w:t>
            </w:r>
          </w:p>
        </w:tc>
        <w:tc>
          <w:tcPr>
            <w:tcW w:type="dxa" w:w="351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Per-merchant "History" link in the Merchant Info tab; also bulk-exportable as CSV</w:t>
            </w:r>
          </w:p>
        </w:tc>
      </w:tr>
      <w:tr>
        <w:tc>
          <w:tcPr>
            <w:tcW w:type="dxa" w:w="204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Revenue Status History</w:t>
            </w:r>
          </w:p>
        </w:tc>
        <w:tc>
          <w:tcPr>
            <w:tcW w:type="dxa" w:w="380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Revenue to Non-revenue transitions (and vice versa), derived from the entry timeline.</w:t>
            </w:r>
          </w:p>
        </w:tc>
        <w:tc>
          <w:tcPr>
            <w:tcW w:type="dxa" w:w="351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Shown alongside merchant edit logs in the History modal with a "Status" type badge</w:t>
            </w:r>
          </w:p>
        </w:tc>
      </w:tr>
      <w:tr>
        <w:tc>
          <w:tcPr>
            <w:tcW w:type="dxa" w:w="204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Transfer History</w:t>
            </w:r>
          </w:p>
        </w:tc>
        <w:tc>
          <w:tcPr>
            <w:tcW w:type="dxa" w:w="3802"/>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Every merchant reassignment: from which handler, to which handler, performed by whom, and when.</w:t>
            </w:r>
          </w:p>
        </w:tc>
        <w:tc>
          <w:tcPr>
            <w:tcW w:type="dxa" w:w="3510"/>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Timeline view in the Brand Transfer tab</w:t>
            </w:r>
          </w:p>
        </w:tc>
      </w:tr>
    </w:tbl>
    <w:p>
      <w:pPr>
        <w:spacing w:after="80"/>
      </w:pPr>
    </w:p>
    <w:p>
      <w:pPr>
        <w:pBdr>
          <w:left w:val="single" w:color="0E7C6B" w:sz="6" w:space="8"/>
        </w:pBdr>
        <w:shd w:fill="F0EFEA" w:color="auto" w:val="clear"/>
        <w:spacing w:after="120" w:before="120"/>
        <w:ind w:left="400"/>
      </w:pPr>
      <w:r>
        <w:rPr>
          <w:rFonts w:ascii="Calibri" w:cs="Calibri" w:eastAsia="Calibri" w:hAnsi="Calibri"/>
          <w:b/>
          <w:bCs/>
          <w:color w:val="0E7C6B"/>
          <w:sz w:val="20"/>
          <w:szCs w:val="20"/>
        </w:rPr>
        <w:t xml:space="preserve">Change format: </w:t>
      </w:r>
      <w:r>
        <w:rPr>
          <w:rFonts w:ascii="Calibri" w:cs="Calibri" w:eastAsia="Calibri" w:hAnsi="Calibri"/>
          <w:color w:val="3D4347"/>
          <w:sz w:val="19"/>
          <w:szCs w:val="19"/>
        </w:rPr>
        <w:t xml:space="preserve">Both edit log trails store changes as structured diffs with the format: field name, old value, and new value. This allows any number of fields to be tracked without requiring structural changes to the system.</w:t>
      </w:r>
    </w:p>
    <w:p>
      <w:pPr>
        <w:pStyle w:val="Heading1"/>
        <w:pBdr>
          <w:bottom w:val="single" w:color="D6D3C8" w:sz="1" w:space="4"/>
        </w:pBdr>
        <w:spacing w:after="120" w:before="400"/>
      </w:pPr>
      <w:r>
        <w:rPr>
          <w:rFonts w:ascii="Georgia" w:cs="Georgia" w:eastAsia="Georgia" w:hAnsi="Georgia"/>
          <w:b w:val="false"/>
          <w:bCs w:val="false"/>
          <w:color w:val="1A1D1F"/>
          <w:sz w:val="32"/>
          <w:szCs w:val="32"/>
        </w:rPr>
        <w:t xml:space="preserve">9. Assumptions and Constraints</w:t>
      </w:r>
    </w:p>
    <w:p>
      <w:pPr>
        <w:pStyle w:val="ListParagraph"/>
        <w:numPr>
          <w:ilvl w:val="0"/>
          <w:numId w:val="1"/>
        </w:numPr>
        <w:spacing w:after="60" w:line="276"/>
      </w:pPr>
      <w:r>
        <w:rPr>
          <w:rFonts w:ascii="Calibri" w:cs="Calibri" w:eastAsia="Calibri" w:hAnsi="Calibri"/>
          <w:b/>
          <w:bCs/>
          <w:color w:val="1A1D1F"/>
          <w:sz w:val="20"/>
          <w:szCs w:val="20"/>
        </w:rPr>
        <w:t xml:space="preserve">No authentication in v1. </w:t>
      </w:r>
      <w:r>
        <w:rPr>
          <w:rFonts w:ascii="Calibri" w:cs="Calibri" w:eastAsia="Calibri" w:hAnsi="Calibri"/>
          <w:color w:val="3D4347"/>
          <w:sz w:val="20"/>
          <w:szCs w:val="20"/>
        </w:rPr>
        <w:t xml:space="preserve">Users select their identity from a dropdown. The system trusts the selected user. SSO integration is planned for v2.</w:t>
      </w:r>
    </w:p>
    <w:p>
      <w:pPr>
        <w:pStyle w:val="ListParagraph"/>
        <w:numPr>
          <w:ilvl w:val="0"/>
          <w:numId w:val="1"/>
        </w:numPr>
        <w:spacing w:after="60" w:line="276"/>
      </w:pPr>
      <w:r>
        <w:rPr>
          <w:rFonts w:ascii="Calibri" w:cs="Calibri" w:eastAsia="Calibri" w:hAnsi="Calibri"/>
          <w:b/>
          <w:bCs/>
          <w:color w:val="1A1D1F"/>
          <w:sz w:val="20"/>
          <w:szCs w:val="20"/>
        </w:rPr>
        <w:t xml:space="preserve">Single-tenant deployment. </w:t>
      </w:r>
      <w:r>
        <w:rPr>
          <w:rFonts w:ascii="Calibri" w:cs="Calibri" w:eastAsia="Calibri" w:hAnsi="Calibri"/>
          <w:color w:val="3D4347"/>
          <w:sz w:val="20"/>
          <w:szCs w:val="20"/>
        </w:rPr>
        <w:t xml:space="preserve">One instance for the GrabOn CS team. No multi-tenancy requirements.</w:t>
      </w:r>
    </w:p>
    <w:p>
      <w:pPr>
        <w:pStyle w:val="ListParagraph"/>
        <w:numPr>
          <w:ilvl w:val="0"/>
          <w:numId w:val="1"/>
        </w:numPr>
        <w:spacing w:after="60" w:line="276"/>
      </w:pPr>
      <w:r>
        <w:rPr>
          <w:rFonts w:ascii="Calibri" w:cs="Calibri" w:eastAsia="Calibri" w:hAnsi="Calibri"/>
          <w:b/>
          <w:bCs/>
          <w:color w:val="1A1D1F"/>
          <w:sz w:val="20"/>
          <w:szCs w:val="20"/>
        </w:rPr>
        <w:t xml:space="preserve">Three handlers. </w:t>
      </w:r>
      <w:r>
        <w:rPr>
          <w:rFonts w:ascii="Calibri" w:cs="Calibri" w:eastAsia="Calibri" w:hAnsi="Calibri"/>
          <w:color w:val="3D4347"/>
          <w:sz w:val="20"/>
          <w:szCs w:val="20"/>
        </w:rPr>
        <w:t xml:space="preserve">The handler list (Swati, Yamini, Meena) is fixed in the current version. Adding new handlers requires a configuration change.</w:t>
      </w:r>
    </w:p>
    <w:p>
      <w:pPr>
        <w:pStyle w:val="ListParagraph"/>
        <w:numPr>
          <w:ilvl w:val="0"/>
          <w:numId w:val="1"/>
        </w:numPr>
        <w:spacing w:after="60" w:line="276"/>
      </w:pPr>
      <w:r>
        <w:rPr>
          <w:rFonts w:ascii="Calibri" w:cs="Calibri" w:eastAsia="Calibri" w:hAnsi="Calibri"/>
          <w:b/>
          <w:bCs/>
          <w:color w:val="1A1D1F"/>
          <w:sz w:val="20"/>
          <w:szCs w:val="20"/>
        </w:rPr>
        <w:t xml:space="preserve">Month-level granularity. </w:t>
      </w:r>
      <w:r>
        <w:rPr>
          <w:rFonts w:ascii="Calibri" w:cs="Calibri" w:eastAsia="Calibri" w:hAnsi="Calibri"/>
          <w:color w:val="3D4347"/>
          <w:sz w:val="20"/>
          <w:szCs w:val="20"/>
        </w:rPr>
        <w:t xml:space="preserve">All entries are stored at the month level. Sub-monthly reporting cadences (daily, weekly) affect the overdue detection logic only, not the stored data.</w:t>
      </w:r>
    </w:p>
    <w:p>
      <w:pPr>
        <w:pStyle w:val="ListParagraph"/>
        <w:numPr>
          <w:ilvl w:val="0"/>
          <w:numId w:val="1"/>
        </w:numPr>
        <w:spacing w:after="60" w:line="276"/>
      </w:pPr>
      <w:r>
        <w:rPr>
          <w:rFonts w:ascii="Calibri" w:cs="Calibri" w:eastAsia="Calibri" w:hAnsi="Calibri"/>
          <w:b/>
          <w:bCs/>
          <w:color w:val="1A1D1F"/>
          <w:sz w:val="20"/>
          <w:szCs w:val="20"/>
        </w:rPr>
        <w:t xml:space="preserve">No external integrations. </w:t>
      </w:r>
      <w:r>
        <w:rPr>
          <w:rFonts w:ascii="Calibri" w:cs="Calibri" w:eastAsia="Calibri" w:hAnsi="Calibri"/>
          <w:color w:val="3D4347"/>
          <w:sz w:val="20"/>
          <w:szCs w:val="20"/>
        </w:rPr>
        <w:t xml:space="preserve">All data is manually entered. There is no automated pull from affiliate networks, ad platforms, or merchant dashboards.</w:t>
      </w:r>
    </w:p>
    <w:p>
      <w:pPr>
        <w:pStyle w:val="ListParagraph"/>
        <w:numPr>
          <w:ilvl w:val="0"/>
          <w:numId w:val="1"/>
        </w:numPr>
        <w:spacing w:after="60" w:line="276"/>
      </w:pPr>
      <w:r>
        <w:rPr>
          <w:rFonts w:ascii="Calibri" w:cs="Calibri" w:eastAsia="Calibri" w:hAnsi="Calibri"/>
          <w:b/>
          <w:bCs/>
          <w:color w:val="1A1D1F"/>
          <w:sz w:val="20"/>
          <w:szCs w:val="20"/>
        </w:rPr>
        <w:t xml:space="preserve">Browser-local notification state. </w:t>
      </w:r>
      <w:r>
        <w:rPr>
          <w:rFonts w:ascii="Calibri" w:cs="Calibri" w:eastAsia="Calibri" w:hAnsi="Calibri"/>
          <w:color w:val="3D4347"/>
          <w:sz w:val="20"/>
          <w:szCs w:val="20"/>
        </w:rPr>
        <w:t xml:space="preserve">The "seen/unseen" badge count is tracked in the browser's local storage, not on the server. Clearing browser data resets the unread count.</w:t>
      </w:r>
    </w:p>
    <w:p>
      <w:pPr>
        <w:pStyle w:val="ListParagraph"/>
        <w:numPr>
          <w:ilvl w:val="0"/>
          <w:numId w:val="1"/>
        </w:numPr>
        <w:spacing w:after="60" w:line="276"/>
      </w:pPr>
      <w:r>
        <w:rPr>
          <w:rFonts w:ascii="Calibri" w:cs="Calibri" w:eastAsia="Calibri" w:hAnsi="Calibri"/>
          <w:b/>
          <w:bCs/>
          <w:color w:val="1A1D1F"/>
          <w:sz w:val="20"/>
          <w:szCs w:val="20"/>
        </w:rPr>
        <w:t xml:space="preserve">CSV is the only export format. </w:t>
      </w:r>
      <w:r>
        <w:rPr>
          <w:rFonts w:ascii="Calibri" w:cs="Calibri" w:eastAsia="Calibri" w:hAnsi="Calibri"/>
          <w:color w:val="3D4347"/>
          <w:sz w:val="20"/>
          <w:szCs w:val="20"/>
        </w:rPr>
        <w:t xml:space="preserve">No PDF, Excel, or scheduled email reports in v1.</w:t>
      </w:r>
    </w:p>
    <w:p>
      <w:pPr>
        <w:pStyle w:val="ListParagraph"/>
        <w:numPr>
          <w:ilvl w:val="0"/>
          <w:numId w:val="1"/>
        </w:numPr>
        <w:spacing w:after="60" w:line="276"/>
      </w:pPr>
      <w:r>
        <w:rPr>
          <w:rFonts w:ascii="Calibri" w:cs="Calibri" w:eastAsia="Calibri" w:hAnsi="Calibri"/>
          <w:b/>
          <w:bCs/>
          <w:color w:val="1A1D1F"/>
          <w:sz w:val="20"/>
          <w:szCs w:val="20"/>
        </w:rPr>
        <w:t xml:space="preserve">Small team scale. </w:t>
      </w:r>
      <w:r>
        <w:rPr>
          <w:rFonts w:ascii="Calibri" w:cs="Calibri" w:eastAsia="Calibri" w:hAnsi="Calibri"/>
          <w:color w:val="3D4347"/>
          <w:sz w:val="20"/>
          <w:szCs w:val="20"/>
        </w:rPr>
        <w:t xml:space="preserve">The system is designed for fewer than 10 concurrent users and fewer than 10,000 entries.</w:t>
      </w:r>
    </w:p>
    <w:p>
      <w:pPr>
        <w:pStyle w:val="Heading1"/>
        <w:pBdr>
          <w:bottom w:val="single" w:color="D6D3C8" w:sz="1" w:space="4"/>
        </w:pBdr>
        <w:spacing w:after="120" w:before="400"/>
      </w:pPr>
      <w:r>
        <w:rPr>
          <w:rFonts w:ascii="Georgia" w:cs="Georgia" w:eastAsia="Georgia" w:hAnsi="Georgia"/>
          <w:b w:val="false"/>
          <w:bCs w:val="false"/>
          <w:color w:val="1A1D1F"/>
          <w:sz w:val="32"/>
          <w:szCs w:val="32"/>
        </w:rPr>
        <w:t xml:space="preserve">10. Future Scope</w:t>
      </w:r>
    </w:p>
    <w:p>
      <w:pPr>
        <w:spacing w:after="120" w:line="276"/>
      </w:pPr>
      <w:r>
        <w:rPr>
          <w:rFonts w:ascii="Calibri" w:cs="Calibri" w:eastAsia="Calibri" w:hAnsi="Calibri"/>
          <w:color w:val="3D4347"/>
          <w:sz w:val="20"/>
          <w:szCs w:val="20"/>
        </w:rPr>
        <w:t xml:space="preserve">The following enhancements are planned or under consideration for v2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5"/>
        <w:gridCol w:w="5737"/>
        <w:gridCol w:w="1208"/>
      </w:tblGrid>
      <w:tr>
        <w:trPr>
          <w:tblHeader/>
        </w:trPr>
        <w:tc>
          <w:tcPr>
            <w:tcW w:type="dxa" w:w="2415"/>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Enhancement</w:t>
            </w:r>
          </w:p>
        </w:tc>
        <w:tc>
          <w:tcPr>
            <w:tcW w:type="dxa" w:w="5737"/>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Description</w:t>
            </w:r>
          </w:p>
        </w:tc>
        <w:tc>
          <w:tcPr>
            <w:tcW w:type="dxa" w:w="1208"/>
            <w:tcBorders>
              <w:top w:val="single" w:color="D6D3C8" w:sz="1"/>
              <w:left w:val="single" w:color="D6D3C8" w:sz="1"/>
              <w:bottom w:val="single" w:color="D6D3C8" w:sz="1"/>
              <w:right w:val="single" w:color="D6D3C8" w:sz="1"/>
            </w:tcBorders>
            <w:shd w:fill="F2F1ED" w:color="auto" w:val="clear"/>
            <w:vAlign w:val="center"/>
          </w:tcPr>
          <w:p>
            <w:pPr>
              <w:spacing w:after="60" w:before="60"/>
            </w:pPr>
            <w:r>
              <w:rPr>
                <w:rFonts w:ascii="Calibri" w:cs="Calibri" w:eastAsia="Calibri" w:hAnsi="Calibri"/>
                <w:b/>
                <w:bCs/>
                <w:caps/>
                <w:color w:val="3D4347"/>
                <w:sz w:val="17"/>
                <w:szCs w:val="17"/>
              </w:rPr>
              <w:t xml:space="preserve">Priority</w:t>
            </w:r>
          </w:p>
        </w:tc>
      </w:tr>
      <w:tr>
        <w:tc>
          <w:tcPr>
            <w:tcW w:type="dxa" w:w="241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Authentication and SSO</w:t>
            </w:r>
          </w:p>
        </w:tc>
        <w:tc>
          <w:tcPr>
            <w:tcW w:type="dxa" w:w="573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Integrate with GrabGPT SSO for real user identity, eliminating the dropdown and enabling proper access control.</w:t>
            </w:r>
          </w:p>
        </w:tc>
        <w:tc>
          <w:tcPr>
            <w:tcW w:type="dxa" w:w="1208"/>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High</w:t>
            </w:r>
          </w:p>
        </w:tc>
      </w:tr>
      <w:tr>
        <w:tc>
          <w:tcPr>
            <w:tcW w:type="dxa" w:w="241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Dynamic handler roster</w:t>
            </w:r>
          </w:p>
        </w:tc>
        <w:tc>
          <w:tcPr>
            <w:tcW w:type="dxa" w:w="573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Manage handlers as configurable records rather than fixed constants, supporting team changes without code updates.</w:t>
            </w:r>
          </w:p>
        </w:tc>
        <w:tc>
          <w:tcPr>
            <w:tcW w:type="dxa" w:w="1208"/>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High</w:t>
            </w:r>
          </w:p>
        </w:tc>
      </w:tr>
      <w:tr>
        <w:tc>
          <w:tcPr>
            <w:tcW w:type="dxa" w:w="241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Automated data ingestion</w:t>
            </w:r>
          </w:p>
        </w:tc>
        <w:tc>
          <w:tcPr>
            <w:tcW w:type="dxa" w:w="573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Pull performance data from affiliate network APIs (CJ, Admitad, Impact) to reduce manual entry burden.</w:t>
            </w:r>
          </w:p>
        </w:tc>
        <w:tc>
          <w:tcPr>
            <w:tcW w:type="dxa" w:w="1208"/>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Medium</w:t>
            </w:r>
          </w:p>
        </w:tc>
      </w:tr>
      <w:tr>
        <w:tc>
          <w:tcPr>
            <w:tcW w:type="dxa" w:w="241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Dashboard charts</w:t>
            </w:r>
          </w:p>
        </w:tc>
        <w:tc>
          <w:tcPr>
            <w:tcW w:type="dxa" w:w="573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Add portfolio-level trend charts (indexed line charts, single-month bar charts) to a dedicated analytics tab.</w:t>
            </w:r>
          </w:p>
        </w:tc>
        <w:tc>
          <w:tcPr>
            <w:tcW w:type="dxa" w:w="1208"/>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Medium</w:t>
            </w:r>
          </w:p>
        </w:tc>
      </w:tr>
      <w:tr>
        <w:tc>
          <w:tcPr>
            <w:tcW w:type="dxa" w:w="241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Email and Slack notifications</w:t>
            </w:r>
          </w:p>
        </w:tc>
        <w:tc>
          <w:tcPr>
            <w:tcW w:type="dxa" w:w="573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Push overdue alerts and reason-approval requests to email or Slack in addition to the in-app drawer.</w:t>
            </w:r>
          </w:p>
        </w:tc>
        <w:tc>
          <w:tcPr>
            <w:tcW w:type="dxa" w:w="1208"/>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Medium</w:t>
            </w:r>
          </w:p>
        </w:tc>
      </w:tr>
      <w:tr>
        <w:tc>
          <w:tcPr>
            <w:tcW w:type="dxa" w:w="241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Production database</w:t>
            </w:r>
          </w:p>
        </w:tc>
        <w:tc>
          <w:tcPr>
            <w:tcW w:type="dxa" w:w="573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Migrate from the current file-based database to a production-grade database for concurrent write safety and reliability.</w:t>
            </w:r>
          </w:p>
        </w:tc>
        <w:tc>
          <w:tcPr>
            <w:tcW w:type="dxa" w:w="1208"/>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High</w:t>
            </w:r>
          </w:p>
        </w:tc>
      </w:tr>
      <w:tr>
        <w:tc>
          <w:tcPr>
            <w:tcW w:type="dxa" w:w="241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Scheduled reports</w:t>
            </w:r>
          </w:p>
        </w:tc>
        <w:tc>
          <w:tcPr>
            <w:tcW w:type="dxa" w:w="573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Auto-generate and email weekly or monthly portfolio summaries to the Manager and Founders Office.</w:t>
            </w:r>
          </w:p>
        </w:tc>
        <w:tc>
          <w:tcPr>
            <w:tcW w:type="dxa" w:w="1208"/>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Low</w:t>
            </w:r>
          </w:p>
        </w:tc>
      </w:tr>
      <w:tr>
        <w:tc>
          <w:tcPr>
            <w:tcW w:type="dxa" w:w="2415"/>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b/>
                <w:bCs/>
                <w:color w:val="1A1D1F"/>
                <w:sz w:val="20"/>
                <w:szCs w:val="20"/>
              </w:rPr>
              <w:t xml:space="preserve">Target setting</w:t>
            </w:r>
          </w:p>
        </w:tc>
        <w:tc>
          <w:tcPr>
            <w:tcW w:type="dxa" w:w="5737"/>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Allow Managers to set performance targets per merchant, with actual-vs-target comparisons in analytics views.</w:t>
            </w:r>
          </w:p>
        </w:tc>
        <w:tc>
          <w:tcPr>
            <w:tcW w:type="dxa" w:w="1208"/>
            <w:tcBorders>
              <w:top w:val="single" w:color="D6D3C8" w:sz="1"/>
              <w:left w:val="single" w:color="D6D3C8" w:sz="1"/>
              <w:bottom w:val="single" w:color="D6D3C8" w:sz="1"/>
              <w:right w:val="single" w:color="D6D3C8" w:sz="1"/>
            </w:tcBorders>
            <w:vAlign w:val="top"/>
          </w:tcPr>
          <w:p>
            <w:pPr>
              <w:spacing w:after="50" w:before="50"/>
            </w:pPr>
            <w:r>
              <w:rPr>
                <w:rFonts w:ascii="Calibri" w:cs="Calibri" w:eastAsia="Calibri" w:hAnsi="Calibri"/>
                <w:color w:val="3D4347"/>
                <w:sz w:val="20"/>
                <w:szCs w:val="20"/>
              </w:rPr>
              <w:t xml:space="preserve">Low</w:t>
            </w:r>
          </w:p>
        </w:tc>
      </w:tr>
    </w:tbl>
    <w:p>
      <w:pPr>
        <w:spacing w:after="80"/>
      </w:pPr>
    </w:p>
    <w:p>
      <w:pPr>
        <w:pBdr>
          <w:top w:val="single" w:color="D6D3C8" w:sz="1" w:space="8"/>
        </w:pBdr>
        <w:spacing w:before="300"/>
        <w:jc w:val="center"/>
      </w:pPr>
      <w:r>
        <w:rPr>
          <w:rFonts w:ascii="Calibri" w:cs="Calibri" w:eastAsia="Calibri" w:hAnsi="Calibri"/>
          <w:color w:val="6B7280"/>
          <w:sz w:val="17"/>
          <w:szCs w:val="17"/>
        </w:rPr>
        <w:t xml:space="preserve">CR Portal PRD v1.0  //  GrabOn Customer Success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347"/>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Georgia" w:cs="Georgia" w:eastAsia="Georgia" w:hAnsi="Georgia"/>
      <w:color w:val="1A1D1F"/>
      <w:sz w:val="32"/>
      <w:szCs w:val="32"/>
    </w:rPr>
  </w:style>
  <w:style w:type="paragraph" w:styleId="Heading2">
    <w:name w:val="Heading 2"/>
    <w:basedOn w:val="Normal"/>
    <w:next w:val="Normal"/>
    <w:qFormat/>
    <w:pPr>
      <w:spacing w:after="100" w:before="300"/>
    </w:pPr>
    <w:rPr>
      <w:rFonts w:ascii="Georgia" w:cs="Georgia" w:eastAsia="Georgia" w:hAnsi="Georgia"/>
      <w:color w:val="1A1D1F"/>
      <w:sz w:val="26"/>
      <w:szCs w:val="26"/>
    </w:rPr>
  </w:style>
  <w:style w:type="paragraph" w:styleId="Heading3">
    <w:name w:val="Heading 3"/>
    <w:basedOn w:val="Normal"/>
    <w:next w:val="Normal"/>
    <w:qFormat/>
    <w:pPr>
      <w:spacing w:after="80" w:before="200"/>
    </w:pPr>
    <w:rPr>
      <w:rFonts w:ascii="Calibri" w:cs="Calibri" w:eastAsia="Calibri" w:hAnsi="Calibri"/>
      <w:b/>
      <w:bCs/>
      <w:color w:val="1A1D1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2026-07-21T18:20:25.552Z</dcterms:created>
  <dcterms:modified xsi:type="dcterms:W3CDTF">2026-07-21T18:20:25.559Z</dcterms:modified>
</cp:coreProperties>
</file>

<file path=docProps/custom.xml><?xml version="1.0" encoding="utf-8"?>
<Properties xmlns="http://schemas.openxmlformats.org/officeDocument/2006/custom-properties" xmlns:vt="http://schemas.openxmlformats.org/officeDocument/2006/docPropsVTypes"/>
</file>