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1a515372f54816" /><Relationship Type="http://schemas.openxmlformats.org/package/2006/relationships/metadata/core-properties" Target="/package/services/metadata/core-properties/f55da1f48dd94ba4a3f6a397ac7f9230.psmdcp" Id="Rb6886a59295a4fa2" /></Relationships>
</file>

<file path=word/document.xml><?xml version="1.0" encoding="utf-8"?>
<w:document xmlns:w="http://schemas.openxmlformats.org/wordprocessingml/2006/main">
  <w:body>
    <w:p>
      <w:pPr>
        <w:pStyle w:val="CoverKicker"/>
      </w:pPr>
      <w:r>
        <w:t xml:space="preserve">ERP + MES 一体化建设方案</w:t>
      </w:r>
    </w:p>
    <w:p>
      <w:pPr>
        <w:pStyle w:val="CoverTitle"/>
      </w:pPr>
      <w:r>
        <w:t xml:space="preserve">内存条 ERP + MES</w:t>
      </w:r>
    </w:p>
    <w:p>
      <w:pPr>
        <w:pStyle w:val="CoverTitle"/>
      </w:pPr>
      <w:r>
        <w:t xml:space="preserve">一体化系统完整解决方案说明书</w:t>
      </w:r>
    </w:p>
    <w:p>
      <w:pPr>
        <w:pStyle w:val="CoverSubtitle"/>
      </w:pPr>
      <w:r>
        <w:t xml:space="preserve">适用范围：人工生产与测试、多员工账号、岗位权限、库存与质量追溯</w:t>
      </w:r>
    </w:p>
    <w:tbl>
      <w:tblPr>
        <w:tblW w:w="5200" w:type="dxa"/>
        <w:tblInd w:w="1900" w:type="dxa"/>
        <w:tblLayout w:type="fixed"/>
        <w:tblBorders>
          <w:top w:val="single" w:color="B7C9DE" w:sz="4"/>
          <w:bottom w:val="single" w:color="B7C9DE" w:sz="4"/>
          <w:left w:val="none" w:color="auto" w:sz="0"/>
          <w:right w:val="none" w:color="auto" w:sz="0"/>
          <w:insideH w:val="single" w:color="D7E1ED" w:sz="4"/>
          <w:insideV w:val="none" w:color="auto" w:sz="0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800"/>
        <w:gridCol w:w="3400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文档状态</w:t>
            </w:r>
          </w:p>
        </w:tc>
        <w:tc>
          <w:tcPr>
            <w:tcW w:w="34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内部讨论稿</w:t>
            </w:r>
          </w:p>
        </w:tc>
      </w:tr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方案基准日期</w:t>
            </w:r>
          </w:p>
        </w:tc>
        <w:tc>
          <w:tcPr>
            <w:tcW w:w="34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2026 年 8 月 10 日</w:t>
            </w:r>
          </w:p>
        </w:tc>
      </w:tr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建设重点</w:t>
            </w:r>
          </w:p>
        </w:tc>
        <w:tc>
          <w:tcPr>
            <w:tcW w:w="34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人工 MES、岗位权限、库存受控流转、批次与序列号追溯</w:t>
            </w:r>
          </w:p>
        </w:tc>
      </w:tr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推荐方向</w:t>
            </w:r>
          </w:p>
        </w:tc>
        <w:tc>
          <w:tcPr>
            <w:tcW w:w="34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ERPNext 作为 ERP 底座，定制 MES 应用承载工厂特有流程</w:t>
            </w:r>
          </w:p>
        </w:tc>
      </w:tr>
    </w:tbl>
    <w:p>
      <w:pPr>
        <w:spacing w:after="360"/>
      </w:pPr>
    </w:p>
    <w:p>
      <w:pPr>
        <w:pStyle w:val="Caption"/>
      </w:pPr>
      <w:r>
        <w:t xml:space="preserve">本文件用于项目立项、业务确认、产品设计与实施验收的共同依据。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Normal"/>
      </w:pPr>
      <w:r>
        <w:t xml:space="preserve">1. 项目概述与建设目标</w:t>
      </w:r>
    </w:p>
    <w:p>
      <w:pPr>
        <w:pStyle w:val="Normal"/>
      </w:pPr>
      <w:r>
        <w:t xml:space="preserve">2. 建设范围、原则与一期边界</w:t>
      </w:r>
    </w:p>
    <w:p>
      <w:pPr>
        <w:pStyle w:val="Normal"/>
      </w:pPr>
      <w:r>
        <w:t xml:space="preserve">3. 现状生产流程与目标流转模型</w:t>
      </w:r>
    </w:p>
    <w:p>
      <w:pPr>
        <w:pStyle w:val="Normal"/>
      </w:pPr>
      <w:r>
        <w:t xml:space="preserve">4. 业务功能总体设计</w:t>
      </w:r>
    </w:p>
    <w:p>
      <w:pPr>
        <w:pStyle w:val="Normal"/>
      </w:pPr>
      <w:r>
        <w:t xml:space="preserve">5. 员工账号、岗位与权限体系</w:t>
      </w:r>
    </w:p>
    <w:p>
      <w:pPr>
        <w:pStyle w:val="Normal"/>
      </w:pPr>
      <w:r>
        <w:t xml:space="preserve">6. 人工 MES 工序执行方案</w:t>
      </w:r>
    </w:p>
    <w:p>
      <w:pPr>
        <w:pStyle w:val="Normal"/>
      </w:pPr>
      <w:r>
        <w:t xml:space="preserve">7. 库存、批次、序列号与质量追溯</w:t>
      </w:r>
    </w:p>
    <w:p>
      <w:pPr>
        <w:pStyle w:val="Normal"/>
      </w:pPr>
      <w:r>
        <w:t xml:space="preserve">8. 系统架构与集成规划</w:t>
      </w:r>
    </w:p>
    <w:p>
      <w:pPr>
        <w:pStyle w:val="Normal"/>
      </w:pPr>
      <w:r>
        <w:t xml:space="preserve">9. 开源 ERP 选型与建议</w:t>
      </w:r>
    </w:p>
    <w:p>
      <w:pPr>
        <w:pStyle w:val="Normal"/>
      </w:pPr>
      <w:r>
        <w:t xml:space="preserve">10. 分阶段实施计划</w:t>
      </w:r>
    </w:p>
    <w:p>
      <w:pPr>
        <w:pStyle w:val="Normal"/>
      </w:pPr>
      <w:r>
        <w:t xml:space="preserve">11. 验收标准、风险与待确认事项</w:t>
      </w:r>
    </w:p>
    <w:p>
      <w:pPr>
        <w:pStyle w:val="Normal"/>
      </w:pPr>
      <w:r>
        <w:t xml:space="preserve">附录 A. 岗位权限矩阵</w:t>
      </w:r>
    </w:p>
    <w:p>
      <w:pPr>
        <w:pStyle w:val="Normal"/>
      </w:pPr>
      <w:r>
        <w:t xml:space="preserve">附录 B. 参考资料</w:t>
      </w:r>
    </w:p>
    <w:p>
      <w:pPr>
        <w:pStyle w:val="Heading1"/>
      </w:pPr>
      <w:r>
        <w:t xml:space="preserve">1. 项目概述与建设目标</w:t>
      </w:r>
    </w:p>
    <w:p>
      <w:pPr>
        <w:pStyle w:val="Normal"/>
      </w:pPr>
      <w:r>
        <w:t xml:space="preserve">本项目面向内存条生产与库存管理，建设以 ERP 为主数据、库存与经营管理底座，以 MES 为人工工序执行与质量追溯中心的一体化系统。系统的第一阶段以员工登录、扫码、手工录入、审核和受控流转为核心，不以设备自动采集作为上线前提。</w:t>
      </w:r>
    </w:p>
    <w:tbl>
      <w:tblPr>
        <w:tblW w:w="8906" w:type="dxa"/>
        <w:tblInd w:w="120" w:type="dxa"/>
        <w:tblLayout w:type="fixed"/>
        <w:tblBorders>
          <w:top w:val="single" w:color="7DA2C8" w:sz="6"/>
          <w:bottom w:val="single" w:color="7DA2C8" w:sz="6"/>
          <w:left w:val="single" w:color="7DA2C8" w:sz="6"/>
          <w:right w:val="single" w:color="7DA2C8" w:sz="6"/>
          <w:insideH w:val="none" w:color="auto" w:sz="0"/>
          <w:insideV w:val="none" w:color="auto" w:sz="0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06"/>
      </w:tblGrid>
      <w:tr>
        <w:tc>
          <w:tcPr>
            <w:tcW w:w="8906" w:type="dxa"/>
            <w:shd w:val="clear" w:color="auto" w:fill="F4F7FB"/>
            <w:vAlign w:val="center"/>
          </w:tcPr>
          <w:p>
            <w:pPr>
              <w:pStyle w:val="CalloutTitle"/>
            </w:pPr>
            <w:r>
              <w:t>建设定位</w:t>
            </w:r>
          </w:p>
          <w:p>
            <w:pPr>
              <w:pStyle w:val="CalloutBody"/>
            </w:pPr>
            <w:r>
              <w:t xml:space="preserve">所有生产、测试、维修、质检、收发料和入库操作必须由实际员工使用独立账号完成。系统以工单、工序任务、批次/序列号、库存状态和审批记录形成完整闭环。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1.1 建设目标</w:t>
      </w:r>
    </w:p>
    <w:p>
      <w:pPr>
        <w:pStyle w:val="Normal"/>
        <w:numPr>
          <w:ilvl w:val="0"/>
          <w:numId w:val="1"/>
        </w:numPr>
      </w:pPr>
      <w:r>
        <w:t xml:space="preserve">建立一套统一的物料、BOM、工艺路线、工单、库存与质量主数据体系。</w:t>
      </w:r>
    </w:p>
    <w:p>
      <w:pPr>
        <w:pStyle w:val="Normal"/>
        <w:numPr>
          <w:ilvl w:val="0"/>
          <w:numId w:val="1"/>
        </w:numPr>
      </w:pPr>
      <w:r>
        <w:t xml:space="preserve">将芯片拆卸植球、芯片测试、委外加工、SMT 贴片、成品测试老化、维修和目检入库纳入受控流程。</w:t>
      </w:r>
    </w:p>
    <w:p>
      <w:pPr>
        <w:pStyle w:val="Normal"/>
        <w:numPr>
          <w:ilvl w:val="0"/>
          <w:numId w:val="1"/>
        </w:numPr>
      </w:pPr>
      <w:r>
        <w:t xml:space="preserve">让每位员工只看到自己岗位、工位、仓库和班组范围内的待办任务与数据。</w:t>
      </w:r>
    </w:p>
    <w:p>
      <w:pPr>
        <w:pStyle w:val="Normal"/>
        <w:numPr>
          <w:ilvl w:val="0"/>
          <w:numId w:val="1"/>
        </w:numPr>
      </w:pPr>
      <w:r>
        <w:t xml:space="preserve">实现从任一成品内存条反查芯片批次、生产工单、测试结果、老化记录、维修记录及质检放行人。</w:t>
      </w:r>
    </w:p>
    <w:p>
      <w:pPr>
        <w:pStyle w:val="Normal"/>
        <w:numPr>
          <w:ilvl w:val="0"/>
          <w:numId w:val="1"/>
        </w:numPr>
      </w:pPr>
      <w:r>
        <w:t xml:space="preserve">通过审计、职责分离和审批规则，降低人为误操作、越权放行与账物不一致风险。</w:t>
      </w:r>
    </w:p>
    <w:p>
      <w:pPr>
        <w:pStyle w:val="Heading2"/>
      </w:pPr>
      <w:r>
        <w:t xml:space="preserve">1.2 一期关键结论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106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结论</w:t>
            </w:r>
          </w:p>
        </w:tc>
        <w:tc>
          <w:tcPr>
            <w:tcW w:w="71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方案要求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业务模式</w:t>
            </w:r>
          </w:p>
        </w:tc>
        <w:tc>
          <w:tcPr>
            <w:tcW w:w="7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人工 MES。员工通过独立账号、工位终端和扫码/手工录入完成操作。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系统关系</w:t>
            </w:r>
          </w:p>
        </w:tc>
        <w:tc>
          <w:tcPr>
            <w:tcW w:w="7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ERP 管理主数据、库存、委外、采购、销售与成本；MES 管理工位任务、报工、测试、质检、维修与追溯。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权限方法</w:t>
            </w:r>
          </w:p>
        </w:tc>
        <w:tc>
          <w:tcPr>
            <w:tcW w:w="7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岗位角色模板 + 数据范围 + 单据状态 + 审批权限；不以逐人零散授权作为常态。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库存原则</w:t>
            </w:r>
          </w:p>
        </w:tc>
        <w:tc>
          <w:tcPr>
            <w:tcW w:w="7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任何工序结论必须同步形成受控的库存状态或库位流转，禁止只改备注不改库存状态。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追溯粒度</w:t>
            </w:r>
          </w:p>
        </w:tc>
        <w:tc>
          <w:tcPr>
            <w:tcW w:w="7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芯片按批次追溯，成品内存条按唯一序列号追溯；关键测试和维修数据与批次/序列号绑定。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建设范围、原则与一期边界</w:t>
      </w:r>
    </w:p>
    <w:p>
      <w:pPr>
        <w:pStyle w:val="Heading2"/>
      </w:pPr>
      <w:r>
        <w:t xml:space="preserve">2.1 一期范围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6906"/>
      </w:tblGrid>
      <w:tr>
        <w:trPr>
          <w:tblHeader/>
          <w:cantSplit/>
        </w:trPr>
        <w:tc>
          <w:tcPr>
            <w:tcW w:w="20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领域</w:t>
            </w:r>
          </w:p>
        </w:tc>
        <w:tc>
          <w:tcPr>
            <w:tcW w:w="69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一期纳入内容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组织与账号</w:t>
            </w:r>
          </w:p>
        </w:tc>
        <w:tc>
          <w:tcPr>
            <w:tcW w:w="6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员工档案、部门、岗位、班组、账号启停、临时授权、离职回收。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主数据</w:t>
            </w:r>
          </w:p>
        </w:tc>
        <w:tc>
          <w:tcPr>
            <w:tcW w:w="6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物料、规格、BOM、工艺路线、工序、工位、仓库/库位、供应商、客户、测试标准与不良代码。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生产与 MES</w:t>
            </w:r>
          </w:p>
        </w:tc>
        <w:tc>
          <w:tcPr>
            <w:tcW w:w="6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生产计划、工单、派工、工序任务、人工报工、投入产出、不良申报、返工、维修、复测。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库存与委外</w:t>
            </w:r>
          </w:p>
        </w:tc>
        <w:tc>
          <w:tcPr>
            <w:tcW w:w="6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入库、领料、退料、调拨、半成品仓、委外发料/回料、库存冻结、报废。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质量与追溯</w:t>
            </w:r>
          </w:p>
        </w:tc>
        <w:tc>
          <w:tcPr>
            <w:tcW w:w="6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过程检验、测试结论、目检、隔离、放行、批次与序列号履历、审计日志。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报表</w:t>
            </w:r>
          </w:p>
        </w:tc>
        <w:tc>
          <w:tcPr>
            <w:tcW w:w="6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在制品、工单进度、工序良率、不良分布、维修率、委外损耗、库存状态与追溯报表。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一期暂不作为上线前置条件</w:t>
      </w:r>
    </w:p>
    <w:p>
      <w:pPr>
        <w:pStyle w:val="Normal"/>
        <w:numPr>
          <w:ilvl w:val="0"/>
          <w:numId w:val="1"/>
        </w:numPr>
      </w:pPr>
      <w:r>
        <w:t xml:space="preserve">测试机、老化柜和 SMT 设备自动取数；一期保留设备、程序版本和接口字段，数据由员工手工录入或导入。</w:t>
      </w:r>
    </w:p>
    <w:p>
      <w:pPr>
        <w:pStyle w:val="Normal"/>
        <w:numPr>
          <w:ilvl w:val="0"/>
          <w:numId w:val="1"/>
        </w:numPr>
      </w:pPr>
      <w:r>
        <w:t xml:space="preserve">高级 APS 自动排程、设备 OEE、预测性维护和复杂算法优化。</w:t>
      </w:r>
    </w:p>
    <w:p>
      <w:pPr>
        <w:pStyle w:val="Normal"/>
        <w:numPr>
          <w:ilvl w:val="0"/>
          <w:numId w:val="1"/>
        </w:numPr>
      </w:pPr>
      <w:r>
        <w:t xml:space="preserve">全面财务核算、CRM、售后或多工厂协同的深度扩展；可在生产与库存稳定后分阶段接入。</w:t>
      </w:r>
    </w:p>
    <w:p>
      <w:pPr>
        <w:pStyle w:val="Heading2"/>
      </w:pPr>
      <w:r>
        <w:t xml:space="preserve">2.3 建设原则</w:t>
      </w:r>
    </w:p>
    <w:p>
      <w:pPr>
        <w:pStyle w:val="Normal"/>
        <w:numPr>
          <w:ilvl w:val="0"/>
          <w:numId w:val="2"/>
        </w:numPr>
      </w:pPr>
      <w:r>
        <w:t xml:space="preserve">先固化业务规则，再配置系统菜单与权限；不得让系统默认流程替代工厂实际管理规则。</w:t>
      </w:r>
    </w:p>
    <w:p>
      <w:pPr>
        <w:pStyle w:val="Normal"/>
        <w:numPr>
          <w:ilvl w:val="0"/>
          <w:numId w:val="2"/>
        </w:numPr>
      </w:pPr>
      <w:r>
        <w:t xml:space="preserve">一物一码、一次动作一次记录；同一批次或序列号在任一时刻只能处于一个受控库存状态。</w:t>
      </w:r>
    </w:p>
    <w:p>
      <w:pPr>
        <w:pStyle w:val="Normal"/>
        <w:numPr>
          <w:ilvl w:val="0"/>
          <w:numId w:val="2"/>
        </w:numPr>
      </w:pPr>
      <w:r>
        <w:t xml:space="preserve">原始执行数据不可由普通操作员修改或删除，修正必须留痕并按权限审批。</w:t>
      </w:r>
    </w:p>
    <w:p>
      <w:pPr>
        <w:pStyle w:val="Normal"/>
        <w:numPr>
          <w:ilvl w:val="0"/>
          <w:numId w:val="2"/>
        </w:numPr>
      </w:pPr>
      <w:r>
        <w:t xml:space="preserve">合格、不合格、待判、返工、维修、报废和特采必须是不同的业务状态与可追溯流转路线。</w:t>
      </w:r>
    </w:p>
    <w:p>
      <w:pPr>
        <w:pStyle w:val="Heading1"/>
      </w:pPr>
      <w:r>
        <w:t xml:space="preserve">3. 现状生产流程与目标流转模型</w:t>
      </w:r>
    </w:p>
    <w:p>
      <w:pPr>
        <w:pStyle w:val="Normal"/>
      </w:pPr>
      <w:r>
        <w:t xml:space="preserve">根据当前流程图，主线工序为：芯片拆卸植球 -&gt; 芯片测试 -&gt; 委外加工 -&gt; 芯片测试 -&gt; SMT 贴片 -&gt; 成品测试老化 -&gt; 不良品维修 -&gt; 目检合格成品入库。半成品仓库位于各工序之间，承担合格半成品接收、下一工序发料、委外出入库以及返工回流的控制职责。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2057400"/>
            <wp:effectExtent l="0" t="0" r="0" b="0"/>
            <wp:docPr id="1" name="当前 MES 生产流程图" descr="工厂当前 MES 生产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40e5121-4845-4613-88a5-4401cc92b794.png"/>
                    <pic:cNvPicPr/>
                  </pic:nvPicPr>
                  <pic:blipFill>
                    <a:blip xmlns:r="http://schemas.openxmlformats.org/officeDocument/2006/relationships" r:embed="R45fc3332f98947c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1. 用户提供的当前 MES 生产流程图</w:t>
      </w:r>
    </w:p>
    <w:p>
      <w:pPr>
        <w:pStyle w:val="Heading2"/>
      </w:pPr>
      <w:r>
        <w:t xml:space="preserve">3.1 目标状态流转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2600"/>
        <w:gridCol w:w="2800"/>
        <w:gridCol w:w="2106"/>
      </w:tblGrid>
      <w:tr>
        <w:trPr>
          <w:tblHeader/>
          <w:cantSplit/>
        </w:trPr>
        <w:tc>
          <w:tcPr>
            <w:tcW w:w="14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环节</w:t>
            </w:r>
          </w:p>
        </w:tc>
        <w:tc>
          <w:tcPr>
            <w:tcW w:w="26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人工操作</w:t>
            </w:r>
          </w:p>
        </w:tc>
        <w:tc>
          <w:tcPr>
            <w:tcW w:w="2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系统状态/库存动作</w:t>
            </w:r>
          </w:p>
        </w:tc>
        <w:tc>
          <w:tcPr>
            <w:tcW w:w="21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异常分支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生产计划与派工</w:t>
            </w:r>
          </w:p>
        </w:tc>
        <w:tc>
          <w:tcPr>
            <w:tcW w:w="26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计划员创建工单，主管分配工位和员工。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工单：已下达；工序任务：待接收。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缺料、无资质员工、工位停用时不得开工。</w:t>
            </w:r>
          </w:p>
        </w:tc>
      </w:tr>
      <w:tr>
        <w:trPr>
          <w:cantSplit/>
        </w:trPr>
        <w:tc>
          <w:tcPr>
            <w:tcW w:w="14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芯片拆卸植球</w:t>
            </w:r>
          </w:p>
        </w:tc>
        <w:tc>
          <w:tcPr>
            <w:tcW w:w="26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操作员扫码接收任务，登记投入、产出与不良。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原料/待加工 -&gt; 工序在制品或待检。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不良进入待判或维修/报废。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第一次芯片测试</w:t>
            </w:r>
          </w:p>
        </w:tc>
        <w:tc>
          <w:tcPr>
            <w:tcW w:w="26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测试员手工录入测试结果、不良代码和测试程序版本。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合格转半成品合格区；不合格转隔离区。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待复核、返工、维修或报废。</w:t>
            </w:r>
          </w:p>
        </w:tc>
      </w:tr>
      <w:tr>
        <w:trPr>
          <w:cantSplit/>
        </w:trPr>
        <w:tc>
          <w:tcPr>
            <w:tcW w:w="14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委外加工</w:t>
            </w:r>
          </w:p>
        </w:tc>
        <w:tc>
          <w:tcPr>
            <w:tcW w:w="26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委外专员创建委外单，仓库员扫码发料、回料。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半成品合格区 -&gt; 委外在途/委外仓 -&gt; 待复测。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短溢料、损耗、超期和供应商异常。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第二次芯片测试</w:t>
            </w:r>
          </w:p>
        </w:tc>
        <w:tc>
          <w:tcPr>
            <w:tcW w:w="26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测试员复测委外回料。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合格芯片转 SMT 待料区。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复测不合格转隔离/维修。</w:t>
            </w:r>
          </w:p>
        </w:tc>
      </w:tr>
      <w:tr>
        <w:trPr>
          <w:cantSplit/>
        </w:trPr>
        <w:tc>
          <w:tcPr>
            <w:tcW w:w="14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SMT 贴片</w:t>
            </w:r>
          </w:p>
        </w:tc>
        <w:tc>
          <w:tcPr>
            <w:tcW w:w="26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SMT 操作员确认领料和报工。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芯片/PCB/辅料消耗，产出模块半成品。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贴片不良、缺料、工艺异常。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成品测试与老化</w:t>
            </w:r>
          </w:p>
        </w:tc>
        <w:tc>
          <w:tcPr>
            <w:tcW w:w="26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测试员记录测试、老化时长、结论和不良代码。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合格转待目检；不合格转维修区。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待判、维修、复测或报废。</w:t>
            </w:r>
          </w:p>
        </w:tc>
      </w:tr>
      <w:tr>
        <w:trPr>
          <w:cantSplit/>
        </w:trPr>
        <w:tc>
          <w:tcPr>
            <w:tcW w:w="14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维修与复测</w:t>
            </w:r>
          </w:p>
        </w:tc>
        <w:tc>
          <w:tcPr>
            <w:tcW w:w="26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维修员记录故障、维修动作和用料，提交复测。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维修中 -&gt; 待复测；不得直接转合格。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维修失败、超修次数、报废申请。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目检与成品入库</w:t>
            </w:r>
          </w:p>
        </w:tc>
        <w:tc>
          <w:tcPr>
            <w:tcW w:w="26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质检员目检放行，仓库员完成入库。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待目检 -&gt; 成品合格仓。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目检不合格转维修/隔离。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仓库与库位建议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4300"/>
        <w:gridCol w:w="2406"/>
      </w:tblGrid>
      <w:tr>
        <w:trPr>
          <w:tblHeader/>
          <w:cantSplit/>
        </w:trPr>
        <w:tc>
          <w:tcPr>
            <w:tcW w:w="22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仓库/库位</w:t>
            </w:r>
          </w:p>
        </w:tc>
        <w:tc>
          <w:tcPr>
            <w:tcW w:w="43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用途</w:t>
            </w:r>
          </w:p>
        </w:tc>
        <w:tc>
          <w:tcPr>
            <w:tcW w:w="24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允许进入方式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原料待检区</w:t>
            </w:r>
          </w:p>
        </w:tc>
        <w:tc>
          <w:tcPr>
            <w:tcW w:w="43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新收芯片、PCB、辅料等等待检验。</w:t>
            </w:r>
          </w:p>
        </w:tc>
        <w:tc>
          <w:tcPr>
            <w:tcW w:w="24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采购收货或退货；质检放行后转合格原料区。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原料合格区</w:t>
            </w:r>
          </w:p>
        </w:tc>
        <w:tc>
          <w:tcPr>
            <w:tcW w:w="43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可用于生产的原材料。</w:t>
            </w:r>
          </w:p>
        </w:tc>
        <w:tc>
          <w:tcPr>
            <w:tcW w:w="24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质检放行后进入；按工单领料。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半成品合格区</w:t>
            </w:r>
          </w:p>
        </w:tc>
        <w:tc>
          <w:tcPr>
            <w:tcW w:w="43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各工序完成并通过当前检验的半成品。</w:t>
            </w:r>
          </w:p>
        </w:tc>
        <w:tc>
          <w:tcPr>
            <w:tcW w:w="24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工序/质检放行入库；下一工序或委外领料。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委外在途/委外仓</w:t>
            </w:r>
          </w:p>
        </w:tc>
        <w:tc>
          <w:tcPr>
            <w:tcW w:w="43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已发给外协供应商、所有权仍归本厂的物料。</w:t>
            </w:r>
          </w:p>
        </w:tc>
        <w:tc>
          <w:tcPr>
            <w:tcW w:w="24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仅通过委外发料、回料流程变动。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待检/待判区</w:t>
            </w:r>
          </w:p>
        </w:tc>
        <w:tc>
          <w:tcPr>
            <w:tcW w:w="43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等待测试、复核或质量裁决的物料。</w:t>
            </w:r>
          </w:p>
        </w:tc>
        <w:tc>
          <w:tcPr>
            <w:tcW w:w="24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工序完成、测试异常或回料后进入。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维修区</w:t>
            </w:r>
          </w:p>
        </w:tc>
        <w:tc>
          <w:tcPr>
            <w:tcW w:w="43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不良品维修、返工和待复测物料。</w:t>
            </w:r>
          </w:p>
        </w:tc>
        <w:tc>
          <w:tcPr>
            <w:tcW w:w="24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质检判定或主管审批后进入。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报废隔离区</w:t>
            </w:r>
          </w:p>
        </w:tc>
        <w:tc>
          <w:tcPr>
            <w:tcW w:w="43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确认不可用或等待报废审批的物料。</w:t>
            </w:r>
          </w:p>
        </w:tc>
        <w:tc>
          <w:tcPr>
            <w:tcW w:w="24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不得再次领用，报废需审批。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成品合格仓</w:t>
            </w:r>
          </w:p>
        </w:tc>
        <w:tc>
          <w:tcPr>
            <w:tcW w:w="43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目检放行并完成入库的内存条成品。</w:t>
            </w:r>
          </w:p>
        </w:tc>
        <w:tc>
          <w:tcPr>
            <w:tcW w:w="24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仅由目检放行后的成品入库单进入。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业务功能总体设计</w:t>
      </w:r>
    </w:p>
    <w:p>
      <w:pPr>
        <w:pStyle w:val="Heading2"/>
      </w:pPr>
      <w:r>
        <w:t xml:space="preserve">4.1 ERP 功能</w:t>
      </w:r>
    </w:p>
    <w:p>
      <w:pPr>
        <w:pStyle w:val="Normal"/>
        <w:numPr>
          <w:ilvl w:val="0"/>
          <w:numId w:val="1"/>
        </w:numPr>
      </w:pPr>
      <w:r>
        <w:t xml:space="preserve">物料与产品：芯片、PCB、辅料、半成品、成品内存条；型号、容量、频率、颗粒规格、SPD 参数等属性。</w:t>
      </w:r>
    </w:p>
    <w:p>
      <w:pPr>
        <w:pStyle w:val="Normal"/>
        <w:numPr>
          <w:ilvl w:val="0"/>
          <w:numId w:val="1"/>
        </w:numPr>
      </w:pPr>
      <w:r>
        <w:t xml:space="preserve">工程数据：BOM、版本、工艺路线、工序、标准工时、测试规范、工位和治具。</w:t>
      </w:r>
    </w:p>
    <w:p>
      <w:pPr>
        <w:pStyle w:val="Normal"/>
        <w:numPr>
          <w:ilvl w:val="0"/>
          <w:numId w:val="1"/>
        </w:numPr>
      </w:pPr>
      <w:r>
        <w:t xml:space="preserve">供应链：采购收货、来料检验、供应商、委外单、外协发料/回料、损耗与结算依据。</w:t>
      </w:r>
    </w:p>
    <w:p>
      <w:pPr>
        <w:pStyle w:val="Normal"/>
        <w:numPr>
          <w:ilvl w:val="0"/>
          <w:numId w:val="1"/>
        </w:numPr>
      </w:pPr>
      <w:r>
        <w:t xml:space="preserve">库存：多仓库、多库位、批次、序列号、冻结、盘点、调拨、报废和账龄。</w:t>
      </w:r>
    </w:p>
    <w:p>
      <w:pPr>
        <w:pStyle w:val="Normal"/>
        <w:numPr>
          <w:ilvl w:val="0"/>
          <w:numId w:val="1"/>
        </w:numPr>
      </w:pPr>
      <w:r>
        <w:t xml:space="preserve">经营：销售订单、发货、成品可用库存、基础成本归集；财务深度核算可在后续阶段扩展。</w:t>
      </w:r>
    </w:p>
    <w:p>
      <w:pPr>
        <w:pStyle w:val="Heading2"/>
      </w:pPr>
      <w:r>
        <w:t xml:space="preserve">4.2 MES 功能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6906"/>
      </w:tblGrid>
      <w:tr>
        <w:trPr>
          <w:tblHeader/>
          <w:cantSplit/>
        </w:trPr>
        <w:tc>
          <w:tcPr>
            <w:tcW w:w="20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功能域</w:t>
            </w:r>
          </w:p>
        </w:tc>
        <w:tc>
          <w:tcPr>
            <w:tcW w:w="69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核心能力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工单与派工</w:t>
            </w:r>
          </w:p>
        </w:tc>
        <w:tc>
          <w:tcPr>
            <w:tcW w:w="6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按产品、批次、数量和交期建立工单；主管分配工序、工位、员工和优先级。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工位任务</w:t>
            </w:r>
          </w:p>
        </w:tc>
        <w:tc>
          <w:tcPr>
            <w:tcW w:w="6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员工只查看已分配或本工位允许领取的任务；支持接收、开始、暂停、完成和异常上报。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人工报工</w:t>
            </w:r>
          </w:p>
        </w:tc>
        <w:tc>
          <w:tcPr>
            <w:tcW w:w="6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扫码或手工输入投入、良品、不良、损耗、工时、批次、序列号、备注及附件。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测试与老化</w:t>
            </w:r>
          </w:p>
        </w:tc>
        <w:tc>
          <w:tcPr>
            <w:tcW w:w="6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测试模板、项目、结果、结论、不良代码、测试程序版本、老化条件和时间。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维修与复测</w:t>
            </w:r>
          </w:p>
        </w:tc>
        <w:tc>
          <w:tcPr>
            <w:tcW w:w="6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不良单、故障现象、原因分析、维修动作、维修用料、复测申请和关闭条件。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质量控制</w:t>
            </w:r>
          </w:p>
        </w:tc>
        <w:tc>
          <w:tcPr>
            <w:tcW w:w="6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过程检验、目检、隔离、放行、复判、特采、报废与质量审批。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看板报表</w:t>
            </w:r>
          </w:p>
        </w:tc>
        <w:tc>
          <w:tcPr>
            <w:tcW w:w="6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工序待办、工单进度、在制品、良率、不良排行、维修率、超期委外和库存异常。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核心单据与状态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800"/>
        <w:gridCol w:w="4306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单据</w:t>
            </w:r>
          </w:p>
        </w:tc>
        <w:tc>
          <w:tcPr>
            <w:tcW w:w="2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关键状态</w:t>
            </w:r>
          </w:p>
        </w:tc>
        <w:tc>
          <w:tcPr>
            <w:tcW w:w="43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状态控制要求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生产工单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草稿、待审核、已下达、生产中、暂停、已完工、已关闭。</w:t>
            </w:r>
          </w:p>
        </w:tc>
        <w:tc>
          <w:tcPr>
            <w:tcW w:w="43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已下达后才能产生工序任务；关闭前必须处理未完工数量。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工序任务/工序卡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待接收、进行中、待检、已完成、异常挂起、已取消。</w:t>
            </w:r>
          </w:p>
        </w:tc>
        <w:tc>
          <w:tcPr>
            <w:tcW w:w="43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操作员只能处理已分配或允许领取的任务。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测试记录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草稿、已提交、待复核、合格、不合格、作废。</w:t>
            </w:r>
          </w:p>
        </w:tc>
        <w:tc>
          <w:tcPr>
            <w:tcW w:w="43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提交后原始数据锁定，作废需授权并保留原因。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质量检验单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待检、合格、不合格、待判、特采待批、已关闭。</w:t>
            </w:r>
          </w:p>
        </w:tc>
        <w:tc>
          <w:tcPr>
            <w:tcW w:w="43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质量结论决定库存可用性和后续路线。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维修单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待维修、维修中、待复测、复测合格、复测不合格、报废。</w:t>
            </w:r>
          </w:p>
        </w:tc>
        <w:tc>
          <w:tcPr>
            <w:tcW w:w="43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维修人员无权直接确认合格或入成品仓。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库存单据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草稿、待审核、已提交、已取消。</w:t>
            </w:r>
          </w:p>
        </w:tc>
        <w:tc>
          <w:tcPr>
            <w:tcW w:w="43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调整、报废和特采需高于普通仓库操作的审批权限。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员工账号、岗位与权限体系</w:t>
      </w:r>
    </w:p>
    <w:p>
      <w:pPr>
        <w:pStyle w:val="Normal"/>
      </w:pPr>
      <w:r>
        <w:t xml:space="preserve">权限是本项目的先行设计项。系统必须同时控制菜单功能、业务动作、数据范围和单据状态，不能只靠隐藏菜单。每位员工使用唯一账号，禁止共享账号；任何修改、审批、放行和库存动作均记录操作人、时间、来源和前后值。</w:t>
      </w:r>
    </w:p>
    <w:p>
      <w:pPr>
        <w:pStyle w:val="Heading2"/>
      </w:pPr>
      <w:r>
        <w:t xml:space="preserve">5.1 权限模型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500"/>
        <w:gridCol w:w="3606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层级</w:t>
            </w:r>
          </w:p>
        </w:tc>
        <w:tc>
          <w:tcPr>
            <w:tcW w:w="35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控制内容</w:t>
            </w:r>
          </w:p>
        </w:tc>
        <w:tc>
          <w:tcPr>
            <w:tcW w:w="36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示例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账号层</w:t>
            </w:r>
          </w:p>
        </w:tc>
        <w:tc>
          <w:tcPr>
            <w:tcW w:w="35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员工身份、启用状态、密码/登录策略、离职回收。</w:t>
            </w:r>
          </w:p>
        </w:tc>
        <w:tc>
          <w:tcPr>
            <w:tcW w:w="36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张三离职后账号停用，历史记录保留。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岗位角色层</w:t>
            </w:r>
          </w:p>
        </w:tc>
        <w:tc>
          <w:tcPr>
            <w:tcW w:w="35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功能菜单、创建/提交/审核/取消/导出等动作。</w:t>
            </w:r>
          </w:p>
        </w:tc>
        <w:tc>
          <w:tcPr>
            <w:tcW w:w="36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测试员可提交测试记录，不能维护 BOM。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数据范围层</w:t>
            </w:r>
          </w:p>
        </w:tc>
        <w:tc>
          <w:tcPr>
            <w:tcW w:w="35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组织、班组、工位、仓库、库位、产品线和单据归属。</w:t>
            </w:r>
          </w:p>
        </w:tc>
        <w:tc>
          <w:tcPr>
            <w:tcW w:w="36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SMT 员工只能看 SMT 工位任务，不可操作维修区库存。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状态与审批层</w:t>
            </w:r>
          </w:p>
        </w:tc>
        <w:tc>
          <w:tcPr>
            <w:tcW w:w="35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不同状态下可执行的操作及审批链。</w:t>
            </w:r>
          </w:p>
        </w:tc>
        <w:tc>
          <w:tcPr>
            <w:tcW w:w="36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维修完成只能提交复测；质检员复测通过后才能放行。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临时授权层</w:t>
            </w:r>
          </w:p>
        </w:tc>
        <w:tc>
          <w:tcPr>
            <w:tcW w:w="35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替班、培训、临时主管权限及失效日期。</w:t>
            </w:r>
          </w:p>
        </w:tc>
        <w:tc>
          <w:tcPr>
            <w:tcW w:w="36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替班授权仅限指定工位和指定日期，自动回收。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账号档案字段</w:t>
      </w:r>
    </w:p>
    <w:p>
      <w:pPr>
        <w:pStyle w:val="Normal"/>
        <w:numPr>
          <w:ilvl w:val="0"/>
          <w:numId w:val="1"/>
        </w:numPr>
      </w:pPr>
      <w:r>
        <w:t xml:space="preserve">基础信息：姓名、工号、部门、班组、岗位、入职日期、在职状态、联系方式。</w:t>
      </w:r>
    </w:p>
    <w:p>
      <w:pPr>
        <w:pStyle w:val="Normal"/>
        <w:numPr>
          <w:ilvl w:val="0"/>
          <w:numId w:val="1"/>
        </w:numPr>
      </w:pPr>
      <w:r>
        <w:t xml:space="preserve">生产授权：可操作工位、可执行工序、允许的仓库/库位、班次、产品线。</w:t>
      </w:r>
    </w:p>
    <w:p>
      <w:pPr>
        <w:pStyle w:val="Normal"/>
        <w:numPr>
          <w:ilvl w:val="0"/>
          <w:numId w:val="1"/>
        </w:numPr>
      </w:pPr>
      <w:r>
        <w:t xml:space="preserve">能力授权：上岗资格、测试项目资质、有效期、培训记录、是否允许复核或带班。</w:t>
      </w:r>
    </w:p>
    <w:p>
      <w:pPr>
        <w:pStyle w:val="Normal"/>
        <w:numPr>
          <w:ilvl w:val="0"/>
          <w:numId w:val="1"/>
        </w:numPr>
      </w:pPr>
      <w:r>
        <w:t xml:space="preserve">安全控制：账号状态、最近登录、密码策略、临时角色、生效/失效时间、离职回收记录。</w:t>
      </w:r>
    </w:p>
    <w:p>
      <w:pPr>
        <w:pStyle w:val="Heading2"/>
      </w:pPr>
      <w:r>
        <w:t xml:space="preserve">5.3 职责分离与禁止越权</w:t>
      </w:r>
    </w:p>
    <w:tbl>
      <w:tblPr>
        <w:tblW w:w="8906" w:type="dxa"/>
        <w:tblInd w:w="120" w:type="dxa"/>
        <w:tblLayout w:type="fixed"/>
        <w:tblBorders>
          <w:top w:val="single" w:color="7DA2C8" w:sz="6"/>
          <w:bottom w:val="single" w:color="7DA2C8" w:sz="6"/>
          <w:left w:val="single" w:color="7DA2C8" w:sz="6"/>
          <w:right w:val="single" w:color="7DA2C8" w:sz="6"/>
          <w:insideH w:val="none" w:color="auto" w:sz="0"/>
          <w:insideV w:val="none" w:color="auto" w:sz="0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06"/>
      </w:tblGrid>
      <w:tr>
        <w:tc>
          <w:tcPr>
            <w:tcW w:w="8906" w:type="dxa"/>
            <w:shd w:val="clear" w:color="auto" w:fill="F4F7FB"/>
            <w:vAlign w:val="center"/>
          </w:tcPr>
          <w:p>
            <w:pPr>
              <w:pStyle w:val="CalloutTitle"/>
            </w:pPr>
            <w:r>
              <w:t>必须执行的控制</w:t>
            </w:r>
          </w:p>
          <w:p>
            <w:pPr>
              <w:pStyle w:val="CalloutBody"/>
            </w:pPr>
            <w:r>
              <w:t xml:space="preserve">同一账号不得同时具备“创建并审批同一工单”“维修并放行维修结果”“质检判定并直接调整合格库存”“创建库存调整并审批库存调整”等冲突权限。需要兼岗时，应通过主管临时授权和审计控制处理。</w:t>
            </w:r>
          </w:p>
        </w:tc>
      </w:tr>
    </w:tbl>
    <w:p>
      <w:pPr>
        <w:spacing w:after="100"/>
      </w:pP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2800"/>
        <w:gridCol w:w="2906"/>
      </w:tblGrid>
      <w:tr>
        <w:trPr>
          <w:tblHeader/>
          <w:cantSplit/>
        </w:trPr>
        <w:tc>
          <w:tcPr>
            <w:tcW w:w="32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高风险动作</w:t>
            </w:r>
          </w:p>
        </w:tc>
        <w:tc>
          <w:tcPr>
            <w:tcW w:w="2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建议执行人</w:t>
            </w:r>
          </w:p>
        </w:tc>
        <w:tc>
          <w:tcPr>
            <w:tcW w:w="29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建议审批/复核人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工单下达和工艺变更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计划员/工艺工程师</w:t>
            </w:r>
          </w:p>
        </w:tc>
        <w:tc>
          <w:tcPr>
            <w:tcW w:w="2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生产主管/工程负责人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库存盘点差异和手工调整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仓库员</w:t>
            </w:r>
          </w:p>
        </w:tc>
        <w:tc>
          <w:tcPr>
            <w:tcW w:w="2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仓储主管或财务指定人员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质量特采、降级使用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质检员提出</w:t>
            </w:r>
          </w:p>
        </w:tc>
        <w:tc>
          <w:tcPr>
            <w:tcW w:w="2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质量主管/授权管理者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报废确认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质检员或仓库员提出</w:t>
            </w:r>
          </w:p>
        </w:tc>
        <w:tc>
          <w:tcPr>
            <w:tcW w:w="2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生产主管 + 财务/管理者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返工路线变更</w:t>
            </w:r>
          </w:p>
        </w:tc>
        <w:tc>
          <w:tcPr>
            <w:tcW w:w="2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生产主管或工程师提出</w:t>
            </w:r>
          </w:p>
        </w:tc>
        <w:tc>
          <w:tcPr>
            <w:tcW w:w="29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质量/工程负责人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员工临时权限</w:t>
            </w:r>
          </w:p>
        </w:tc>
        <w:tc>
          <w:tcPr>
            <w:tcW w:w="2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部门主管申请</w:t>
            </w:r>
          </w:p>
        </w:tc>
        <w:tc>
          <w:tcPr>
            <w:tcW w:w="29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系统管理员按批准单配置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人工 MES 工序执行方案</w:t>
      </w:r>
    </w:p>
    <w:p>
      <w:pPr>
        <w:pStyle w:val="Heading2"/>
      </w:pPr>
      <w:r>
        <w:t xml:space="preserve">6.1 员工端标准操作</w:t>
      </w:r>
    </w:p>
    <w:p>
      <w:pPr>
        <w:pStyle w:val="Normal"/>
        <w:numPr>
          <w:ilvl w:val="0"/>
          <w:numId w:val="3"/>
        </w:numPr>
      </w:pPr>
      <w:r>
        <w:t xml:space="preserve">登录：员工使用个人账号登录工位终端，系统校验岗位、班次、工位与上岗资格。</w:t>
      </w:r>
    </w:p>
    <w:p>
      <w:pPr>
        <w:pStyle w:val="Normal"/>
        <w:numPr>
          <w:ilvl w:val="0"/>
          <w:numId w:val="3"/>
        </w:numPr>
      </w:pPr>
      <w:r>
        <w:t xml:space="preserve">接收任务：查看待办工序任务，扫描工单、物料批次或序列号确认接收。</w:t>
      </w:r>
    </w:p>
    <w:p>
      <w:pPr>
        <w:pStyle w:val="Normal"/>
        <w:numPr>
          <w:ilvl w:val="0"/>
          <w:numId w:val="3"/>
        </w:numPr>
      </w:pPr>
      <w:r>
        <w:t xml:space="preserve">开始作业：确认投入数量、来源仓/库位、工位和使用的测试规范或作业指导书版本。</w:t>
      </w:r>
    </w:p>
    <w:p>
      <w:pPr>
        <w:pStyle w:val="Normal"/>
        <w:numPr>
          <w:ilvl w:val="0"/>
          <w:numId w:val="3"/>
        </w:numPr>
      </w:pPr>
      <w:r>
        <w:t xml:space="preserve">报工：填写良品、不良、损耗、测试结果、不良代码、备注；必要时上传照片或附件。</w:t>
      </w:r>
    </w:p>
    <w:p>
      <w:pPr>
        <w:pStyle w:val="Normal"/>
        <w:numPr>
          <w:ilvl w:val="0"/>
          <w:numId w:val="3"/>
        </w:numPr>
      </w:pPr>
      <w:r>
        <w:t xml:space="preserve">提交：系统检查数量平衡、必填项目、员工授权和前置工序状态；通过后锁定原始记录。</w:t>
      </w:r>
    </w:p>
    <w:p>
      <w:pPr>
        <w:pStyle w:val="Normal"/>
        <w:numPr>
          <w:ilvl w:val="0"/>
          <w:numId w:val="3"/>
        </w:numPr>
      </w:pPr>
      <w:r>
        <w:t xml:space="preserve">质量流转：合格进入下一工序/半成品库；不合格进入待判、维修或报废路线。</w:t>
      </w:r>
    </w:p>
    <w:p>
      <w:pPr>
        <w:pStyle w:val="Normal"/>
        <w:numPr>
          <w:ilvl w:val="0"/>
          <w:numId w:val="3"/>
        </w:numPr>
      </w:pPr>
      <w:r>
        <w:t xml:space="preserve">异常处理：发现缺料、设备/治具异常、工艺异常或测试异常时，员工创建异常单并挂起任务。</w:t>
      </w:r>
    </w:p>
    <w:p>
      <w:pPr>
        <w:pStyle w:val="Heading2"/>
      </w:pPr>
      <w:r>
        <w:t xml:space="preserve">6.2 测试、老化与维修控制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2900"/>
        <w:gridCol w:w="2200"/>
        <w:gridCol w:w="2106"/>
      </w:tblGrid>
      <w:tr>
        <w:trPr>
          <w:tblHeader/>
          <w:cantSplit/>
        </w:trPr>
        <w:tc>
          <w:tcPr>
            <w:tcW w:w="17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场景</w:t>
            </w:r>
          </w:p>
        </w:tc>
        <w:tc>
          <w:tcPr>
            <w:tcW w:w="29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员工必须录入</w:t>
            </w:r>
          </w:p>
        </w:tc>
        <w:tc>
          <w:tcPr>
            <w:tcW w:w="22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系统校验</w:t>
            </w:r>
          </w:p>
        </w:tc>
        <w:tc>
          <w:tcPr>
            <w:tcW w:w="21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流转结果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芯片测试</w:t>
            </w:r>
          </w:p>
        </w:tc>
        <w:tc>
          <w:tcPr>
            <w:tcW w:w="29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样本/批次、测试项目、结果、结论、不良代码、测试程序版本。</w:t>
            </w:r>
          </w:p>
        </w:tc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测试员资质、任务归属、结果完整性。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合格入半成品合格区；不合格入隔离区。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成品测试与老化</w:t>
            </w:r>
          </w:p>
        </w:tc>
        <w:tc>
          <w:tcPr>
            <w:tcW w:w="29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成品序列号、测试结果、老化起止时间、条件、结论。</w:t>
            </w:r>
          </w:p>
        </w:tc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序列号唯一、老化时长、前置 SMT 完成状态。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合格待目检；不合格进入维修。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</w:t>
            </w:r>
          </w:p>
        </w:tc>
        <w:tc>
          <w:tcPr>
            <w:tcW w:w="29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故障现象、原因、维修动作、替换物料、维修人、维修时间。</w:t>
            </w:r>
          </w:p>
        </w:tc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维修工位授权、维修单状态、可用备件批次。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只能转待复测，不能直接转合格。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复测</w:t>
            </w:r>
          </w:p>
        </w:tc>
        <w:tc>
          <w:tcPr>
            <w:tcW w:w="29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复测结果、结论、不良代码、测试人。</w:t>
            </w:r>
          </w:p>
        </w:tc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必须关联维修单；测试人与维修人可配置为不同账号。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复测合格后等待质检放行；不合格回维修或报废。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目检</w:t>
            </w:r>
          </w:p>
        </w:tc>
        <w:tc>
          <w:tcPr>
            <w:tcW w:w="29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外观结论、缺陷代码、质检人。</w:t>
            </w:r>
          </w:p>
        </w:tc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成品测试/老化结论已合格。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合格成品入库；不合格回维修或隔离。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库存、批次、序列号与质量追溯</w:t>
      </w:r>
    </w:p>
    <w:p>
      <w:pPr>
        <w:pStyle w:val="Heading2"/>
      </w:pPr>
      <w:r>
        <w:t xml:space="preserve">7.1 追溯数据模型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300"/>
        <w:gridCol w:w="4806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对象</w:t>
            </w:r>
          </w:p>
        </w:tc>
        <w:tc>
          <w:tcPr>
            <w:tcW w:w="23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建议标识</w:t>
            </w:r>
          </w:p>
        </w:tc>
        <w:tc>
          <w:tcPr>
            <w:tcW w:w="48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必须关联的信息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芯片原料</w:t>
            </w:r>
          </w:p>
        </w:tc>
        <w:tc>
          <w:tcPr>
            <w:tcW w:w="23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供应商批次 + 内部批次号。</w:t>
            </w:r>
          </w:p>
        </w:tc>
        <w:tc>
          <w:tcPr>
            <w:tcW w:w="48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供应商、来料日期、检验结论、规格、库存位置、使用工单。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半成品</w:t>
            </w:r>
          </w:p>
        </w:tc>
        <w:tc>
          <w:tcPr>
            <w:tcW w:w="23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工单批次/工序批次。</w:t>
            </w:r>
          </w:p>
        </w:tc>
        <w:tc>
          <w:tcPr>
            <w:tcW w:w="48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投入芯片批次、工序、产出数量、测试记录、当前状态和库位。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成品内存条</w:t>
            </w:r>
          </w:p>
        </w:tc>
        <w:tc>
          <w:tcPr>
            <w:tcW w:w="23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唯一序列号。</w:t>
            </w:r>
          </w:p>
        </w:tc>
        <w:tc>
          <w:tcPr>
            <w:tcW w:w="48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产品型号、成品批次、芯片批次、PCB/辅料批次、SMT 工单、测试/老化/目检/维修履历。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质量异常</w:t>
            </w:r>
          </w:p>
        </w:tc>
        <w:tc>
          <w:tcPr>
            <w:tcW w:w="23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不良单号。</w:t>
            </w:r>
          </w:p>
        </w:tc>
        <w:tc>
          <w:tcPr>
            <w:tcW w:w="48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发现工序、对象批次/序列号、不良代码、责任待定信息、处理与审批记录。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维修记录</w:t>
            </w:r>
          </w:p>
        </w:tc>
        <w:tc>
          <w:tcPr>
            <w:tcW w:w="23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维修单号。</w:t>
            </w:r>
          </w:p>
        </w:tc>
        <w:tc>
          <w:tcPr>
            <w:tcW w:w="48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故障现象、维修动作、用料、维修人、复测记录和最终去向。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正反向追溯能力</w:t>
      </w:r>
    </w:p>
    <w:p>
      <w:pPr>
        <w:pStyle w:val="Normal"/>
        <w:numPr>
          <w:ilvl w:val="0"/>
          <w:numId w:val="1"/>
        </w:numPr>
      </w:pPr>
      <w:r>
        <w:t xml:space="preserve">正向追溯：输入某一芯片批次，查询其被用于哪些半成品、哪些成品内存条、对应测试结果和出货去向。</w:t>
      </w:r>
    </w:p>
    <w:p>
      <w:pPr>
        <w:pStyle w:val="Normal"/>
        <w:numPr>
          <w:ilvl w:val="0"/>
          <w:numId w:val="1"/>
        </w:numPr>
      </w:pPr>
      <w:r>
        <w:t xml:space="preserve">反向追溯：输入一个成品序列号，查询其芯片/PCB/辅料来源、生产工序、操作员工、测试/老化数据、维修和放行记录。</w:t>
      </w:r>
    </w:p>
    <w:p>
      <w:pPr>
        <w:pStyle w:val="Normal"/>
        <w:numPr>
          <w:ilvl w:val="0"/>
          <w:numId w:val="1"/>
        </w:numPr>
      </w:pPr>
      <w:r>
        <w:t xml:space="preserve">质量追溯：输入不良代码或测试项目，按产品、批次、工序、员工、工位和时间段统计良率与不良分布。</w:t>
      </w:r>
    </w:p>
    <w:p>
      <w:pPr>
        <w:pStyle w:val="Heading2"/>
      </w:pPr>
      <w:r>
        <w:t xml:space="preserve">7.3 审计与数据保留</w:t>
      </w:r>
    </w:p>
    <w:p>
      <w:pPr>
        <w:pStyle w:val="Normal"/>
      </w:pPr>
      <w:r>
        <w:t xml:space="preserve">工单、报工、测试、质检、维修和库存单据均需保留创建人、提交人、审核人、时间、修改前后值和作废原因。普通员工不得删除已提交记录；需要修正时以冲销、重开、复测或更正单方式留痕，不覆盖原始数据。</w:t>
      </w:r>
    </w:p>
    <w:p>
      <w:pPr>
        <w:pStyle w:val="Heading1"/>
      </w:pPr>
      <w:r>
        <w:t xml:space="preserve">8. 系统架构与集成规划</w:t>
      </w:r>
    </w:p>
    <w:p>
      <w:pPr>
        <w:pStyle w:val="Heading2"/>
      </w:pPr>
      <w:r>
        <w:t xml:space="preserve">8.1 推荐架构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2900"/>
        <w:gridCol w:w="4506"/>
      </w:tblGrid>
      <w:tr>
        <w:trPr>
          <w:tblHeader/>
          <w:cantSplit/>
        </w:trPr>
        <w:tc>
          <w:tcPr>
            <w:tcW w:w="15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层级</w:t>
            </w:r>
          </w:p>
        </w:tc>
        <w:tc>
          <w:tcPr>
            <w:tcW w:w="29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组件</w:t>
            </w:r>
          </w:p>
        </w:tc>
        <w:tc>
          <w:tcPr>
            <w:tcW w:w="45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职责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员工操作层</w:t>
            </w:r>
          </w:p>
        </w:tc>
        <w:tc>
          <w:tcPr>
            <w:tcW w:w="29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PC 浏览器、工位平板、扫码枪。</w:t>
            </w:r>
          </w:p>
        </w:tc>
        <w:tc>
          <w:tcPr>
            <w:tcW w:w="45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登录、查看待办、扫码、手工报工、测试录入、质检、仓库收发与审批。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MES 业务层</w:t>
            </w:r>
          </w:p>
        </w:tc>
        <w:tc>
          <w:tcPr>
            <w:tcW w:w="29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工序任务、报工、测试、质量、维修、追溯、现场看板。</w:t>
            </w:r>
          </w:p>
        </w:tc>
        <w:tc>
          <w:tcPr>
            <w:tcW w:w="45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固化人工生产执行逻辑，校验工序、数量、权限和状态流转。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ERP 业务层</w:t>
            </w:r>
          </w:p>
        </w:tc>
        <w:tc>
          <w:tcPr>
            <w:tcW w:w="29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主数据、BOM、工单、库存、委外、采购、销售、成本。</w:t>
            </w:r>
          </w:p>
        </w:tc>
        <w:tc>
          <w:tcPr>
            <w:tcW w:w="45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作为物料、库存与经营业务的唯一主数据和账务来源。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权限与审计层</w:t>
            </w:r>
          </w:p>
        </w:tc>
        <w:tc>
          <w:tcPr>
            <w:tcW w:w="29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账号、角色、数据范围、审批流、操作日志。</w:t>
            </w:r>
          </w:p>
        </w:tc>
        <w:tc>
          <w:tcPr>
            <w:tcW w:w="45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确保多员工分工协作和全程责任可追溯。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后续设备接口层</w:t>
            </w:r>
          </w:p>
        </w:tc>
        <w:tc>
          <w:tcPr>
            <w:tcW w:w="29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测试机、老化柜、SMT 设备采集代理/API。</w:t>
            </w:r>
          </w:p>
        </w:tc>
        <w:tc>
          <w:tcPr>
            <w:tcW w:w="45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二期接入；一期仅预留设备、测试程序版本和导入字段。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报表层</w:t>
            </w:r>
          </w:p>
        </w:tc>
        <w:tc>
          <w:tcPr>
            <w:tcW w:w="29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生产、质量、库存、委外与经营看板。</w:t>
            </w:r>
          </w:p>
        </w:tc>
        <w:tc>
          <w:tcPr>
            <w:tcW w:w="45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面向主管、质量、仓储和管理层提供不同口径的报表。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架构原则</w:t>
      </w:r>
    </w:p>
    <w:p>
      <w:pPr>
        <w:pStyle w:val="Normal"/>
        <w:numPr>
          <w:ilvl w:val="0"/>
          <w:numId w:val="1"/>
        </w:numPr>
      </w:pPr>
      <w:r>
        <w:t xml:space="preserve">库存、批次、BOM 和工单只保留一套主数据，避免 ERP 与 MES 各自维护库存账。</w:t>
      </w:r>
    </w:p>
    <w:p>
      <w:pPr>
        <w:pStyle w:val="Normal"/>
        <w:numPr>
          <w:ilvl w:val="0"/>
          <w:numId w:val="1"/>
        </w:numPr>
      </w:pPr>
      <w:r>
        <w:t xml:space="preserve">MES 不直接修改数据库，而通过受控业务接口完成报工、检验和库存流转。</w:t>
      </w:r>
    </w:p>
    <w:p>
      <w:pPr>
        <w:pStyle w:val="Normal"/>
        <w:numPr>
          <w:ilvl w:val="0"/>
          <w:numId w:val="1"/>
        </w:numPr>
      </w:pPr>
      <w:r>
        <w:t xml:space="preserve">设备对接采用采集代理或接口服务，避免测试设备直接写入核心业务库；一期可先人工录入。</w:t>
      </w:r>
    </w:p>
    <w:p>
      <w:pPr>
        <w:pStyle w:val="Normal"/>
        <w:numPr>
          <w:ilvl w:val="0"/>
          <w:numId w:val="1"/>
        </w:numPr>
      </w:pPr>
      <w:r>
        <w:t xml:space="preserve">报表读取业务数据时应区分实时操作界面与管理分析口径，避免报表影响现场操作。</w:t>
      </w:r>
    </w:p>
    <w:p>
      <w:pPr>
        <w:pStyle w:val="Heading1"/>
      </w:pPr>
      <w:r>
        <w:t xml:space="preserve">9. 开源 ERP 选型与建议</w:t>
      </w:r>
    </w:p>
    <w:p>
      <w:pPr>
        <w:pStyle w:val="Normal"/>
      </w:pPr>
      <w:r>
        <w:t xml:space="preserve">建议以 ERPNext 作为优先 ERP 底座，并在其上以独立定制应用实现 MES。其制造、工单、工序卡、库存、委外、质量、批次/序列号和权限能力与本项目的基础需求匹配度较高。选择开源方案时，必须同时评估许可证、二次开发能力、实施团队经验和长期运维责任。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000"/>
        <w:gridCol w:w="3100"/>
        <w:gridCol w:w="1006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方案</w:t>
            </w:r>
          </w:p>
        </w:tc>
        <w:tc>
          <w:tcPr>
            <w:tcW w:w="30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适合点</w:t>
            </w:r>
          </w:p>
        </w:tc>
        <w:tc>
          <w:tcPr>
            <w:tcW w:w="31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主要注意事项</w:t>
            </w:r>
          </w:p>
        </w:tc>
        <w:tc>
          <w:tcPr>
            <w:tcW w:w="10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建议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ERPNext + 定制 MES</w:t>
            </w:r>
          </w:p>
        </w:tc>
        <w:tc>
          <w:tcPr>
            <w:tcW w:w="3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制造、库存、委外、质量、角色权限与批次/序列号能力较完整，适合以 ERP 为底座扩展工厂特有流程。</w:t>
            </w:r>
          </w:p>
        </w:tc>
        <w:tc>
          <w:tcPr>
            <w:tcW w:w="31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GPLv3 许可需在项目立项时完成合规评估；测试、维修、工位权限和内存条谱系需定制。</w:t>
            </w:r>
          </w:p>
        </w:tc>
        <w:tc>
          <w:tcPr>
            <w:tcW w:w="10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首选。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Odoo Community + 定制 MES/OCA 模块</w:t>
            </w:r>
          </w:p>
        </w:tc>
        <w:tc>
          <w:tcPr>
            <w:tcW w:w="3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制造、库存与权限生态丰富，适合已有 Odoo 团队或服务商资源的场景。</w:t>
            </w:r>
          </w:p>
        </w:tc>
        <w:tc>
          <w:tcPr>
            <w:tcW w:w="31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需逐项核对 Community、Enterprise 和第三方模块的功能与许可证边界。</w:t>
            </w:r>
          </w:p>
        </w:tc>
        <w:tc>
          <w:tcPr>
            <w:tcW w:w="10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备选。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iDempiere + 定制开发</w:t>
            </w:r>
          </w:p>
        </w:tc>
        <w:tc>
          <w:tcPr>
            <w:tcW w:w="3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开源 ERP、角色和工作流能力较成熟。</w:t>
            </w:r>
          </w:p>
        </w:tc>
        <w:tc>
          <w:tcPr>
            <w:tcW w:w="31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实施和界面改造成本较高，需要稳定的 Java/OSGi 技术团队。</w:t>
            </w:r>
          </w:p>
        </w:tc>
        <w:tc>
          <w:tcPr>
            <w:tcW w:w="10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不建议作为一期首选。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选型落地策略</w:t>
      </w:r>
    </w:p>
    <w:p>
      <w:pPr>
        <w:pStyle w:val="Normal"/>
        <w:numPr>
          <w:ilvl w:val="0"/>
          <w:numId w:val="4"/>
        </w:numPr>
      </w:pPr>
      <w:r>
        <w:t xml:space="preserve">先基于一个完整试点流程验证：芯片批次 -&gt; 测试 -&gt; 委外 -&gt; 复测 -&gt; SMT -&gt; 老化 -&gt; 维修/复测 -&gt; 目检入成品仓。</w:t>
      </w:r>
    </w:p>
    <w:p>
      <w:pPr>
        <w:pStyle w:val="Normal"/>
        <w:numPr>
          <w:ilvl w:val="0"/>
          <w:numId w:val="4"/>
        </w:numPr>
      </w:pPr>
      <w:r>
        <w:t xml:space="preserve">试点期间不修改 ERP 核心源码；将工厂特有逻辑封装为定制 MES 模块和受控接口。</w:t>
      </w:r>
    </w:p>
    <w:p>
      <w:pPr>
        <w:pStyle w:val="Normal"/>
        <w:numPr>
          <w:ilvl w:val="0"/>
          <w:numId w:val="4"/>
        </w:numPr>
      </w:pPr>
      <w:r>
        <w:t xml:space="preserve">确认角色、数据范围、单据审批、库存状态和追溯链稳定后，再扩展财务、销售、自动设备采集与高级排程。</w:t>
      </w:r>
    </w:p>
    <w:p>
      <w:pPr>
        <w:pStyle w:val="Heading1"/>
      </w:pPr>
      <w:r>
        <w:t xml:space="preserve">10. 分阶段实施计划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2200"/>
        <w:gridCol w:w="3000"/>
        <w:gridCol w:w="2106"/>
      </w:tblGrid>
      <w:tr>
        <w:trPr>
          <w:tblHeader/>
          <w:cantSplit/>
        </w:trPr>
        <w:tc>
          <w:tcPr>
            <w:tcW w:w="16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阶段</w:t>
            </w:r>
          </w:p>
        </w:tc>
        <w:tc>
          <w:tcPr>
            <w:tcW w:w="22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目标</w:t>
            </w:r>
          </w:p>
        </w:tc>
        <w:tc>
          <w:tcPr>
            <w:tcW w:w="30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主要产出</w:t>
            </w:r>
          </w:p>
        </w:tc>
        <w:tc>
          <w:tcPr>
            <w:tcW w:w="21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完成判定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阶段 0：业务蓝图</w:t>
            </w:r>
          </w:p>
        </w:tc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确认工艺、仓库、岗位、单据与异常规则。</w:t>
            </w:r>
          </w:p>
        </w:tc>
        <w:tc>
          <w:tcPr>
            <w:tcW w:w="3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流程蓝图、仓库/库位图、主数据规范、权限矩阵、字段清单。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业务负责人书面确认蓝图。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阶段 1：基础 ERP</w:t>
            </w:r>
          </w:p>
        </w:tc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搭建组织、账号、物料、BOM、工艺、仓库、采购与委外基础。</w:t>
            </w:r>
          </w:p>
        </w:tc>
        <w:tc>
          <w:tcPr>
            <w:tcW w:w="3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主数据、基础权限、库存与委外流程。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可以完成收货、检验、入库、领料和委外收发。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阶段 2：人工 MES 试点</w:t>
            </w:r>
          </w:p>
        </w:tc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跑通一条完整生产路线。</w:t>
            </w:r>
          </w:p>
        </w:tc>
        <w:tc>
          <w:tcPr>
            <w:tcW w:w="3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工单、工序任务、扫码报工、测试、维修、目检、追溯。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可从一件成品反查到芯片批次与关键履历。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阶段 3：全线推广</w:t>
            </w:r>
          </w:p>
        </w:tc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扩展全部工位、班组、产品和报表。</w:t>
            </w:r>
          </w:p>
        </w:tc>
        <w:tc>
          <w:tcPr>
            <w:tcW w:w="30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生产质量看板、培训与 SOP、上线运维机制。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现场按系统完成日常生产和库存操作。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阶段 4：优化扩展</w:t>
            </w:r>
          </w:p>
        </w:tc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接入设备、提高自动化与分析能力。</w:t>
            </w:r>
          </w:p>
        </w:tc>
        <w:tc>
          <w:tcPr>
            <w:tcW w:w="30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设备接口、自动数据导入、OEE/APS/经营分析。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根据一期运行数据决定优先级。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10.1 上线培训与运行保障</w:t>
      </w:r>
    </w:p>
    <w:p>
      <w:pPr>
        <w:pStyle w:val="Normal"/>
        <w:numPr>
          <w:ilvl w:val="0"/>
          <w:numId w:val="1"/>
        </w:numPr>
      </w:pPr>
      <w:r>
        <w:t xml:space="preserve">按岗位组织培训：操作员只培训其工位任务和异常上报；主管、质检、仓库分别培训审批与异常处理。</w:t>
      </w:r>
    </w:p>
    <w:p>
      <w:pPr>
        <w:pStyle w:val="Normal"/>
        <w:numPr>
          <w:ilvl w:val="0"/>
          <w:numId w:val="1"/>
        </w:numPr>
      </w:pPr>
      <w:r>
        <w:t xml:space="preserve">上线初期设置现场支持窗口，建立“问题登记 -&gt; 分类 -&gt; 处理 -&gt; 回归验证 -&gt; 知识库”的闭环。</w:t>
      </w:r>
    </w:p>
    <w:p>
      <w:pPr>
        <w:pStyle w:val="Normal"/>
        <w:numPr>
          <w:ilvl w:val="0"/>
          <w:numId w:val="1"/>
        </w:numPr>
      </w:pPr>
      <w:r>
        <w:t xml:space="preserve">设置每日数据核对：工单投入产出、半成品库存、维修在制、待判物料、委外在途和成品入库。</w:t>
      </w:r>
    </w:p>
    <w:p>
      <w:pPr>
        <w:pStyle w:val="Heading1"/>
      </w:pPr>
      <w:r>
        <w:t xml:space="preserve">11. 验收标准、风险与待确认事项</w:t>
      </w:r>
    </w:p>
    <w:p>
      <w:pPr>
        <w:pStyle w:val="Heading2"/>
      </w:pPr>
      <w:r>
        <w:t xml:space="preserve">11.1 核心验收标准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6706"/>
      </w:tblGrid>
      <w:tr>
        <w:trPr>
          <w:tblHeader/>
          <w:cantSplit/>
        </w:trPr>
        <w:tc>
          <w:tcPr>
            <w:tcW w:w="22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验收主题</w:t>
            </w:r>
          </w:p>
        </w:tc>
        <w:tc>
          <w:tcPr>
            <w:tcW w:w="67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验收标准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账号与权限</w:t>
            </w:r>
          </w:p>
        </w:tc>
        <w:tc>
          <w:tcPr>
            <w:tcW w:w="67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不同岗位登录后仅能看到其授权菜单、工位、仓库和待办；离职账号停用后不可登录。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人工报工</w:t>
            </w:r>
          </w:p>
        </w:tc>
        <w:tc>
          <w:tcPr>
            <w:tcW w:w="67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操作员可按工单完成接收、开始、报工和异常上报；无权限或前置不满足时系统阻止提交。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测试质量</w:t>
            </w:r>
          </w:p>
        </w:tc>
        <w:tc>
          <w:tcPr>
            <w:tcW w:w="67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测试结果、不良代码、测试人、时间和程序版本可查询；不合格物料不能直接进入合格库存。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维修闭环</w:t>
            </w:r>
          </w:p>
        </w:tc>
        <w:tc>
          <w:tcPr>
            <w:tcW w:w="67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维修单必须经过维修 -&gt; 复测 -&gt; 质量放行，维修员不能自行转合格。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库存一致性</w:t>
            </w:r>
          </w:p>
        </w:tc>
        <w:tc>
          <w:tcPr>
            <w:tcW w:w="67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领料、报工、委外、回料、入库、报废均产生受控库存单据，库存状态可追溯。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成品追溯</w:t>
            </w:r>
          </w:p>
        </w:tc>
        <w:tc>
          <w:tcPr>
            <w:tcW w:w="67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输入成品序列号可以查询产品、芯片批次、生产工单、测试/老化/维修/目检记录。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审计</w:t>
            </w:r>
          </w:p>
        </w:tc>
        <w:tc>
          <w:tcPr>
            <w:tcW w:w="67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已提交的关键记录不可被普通账号删除或直接覆盖，修正与审批过程可追溯。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主要风险与控制措施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700"/>
        <w:gridCol w:w="4406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风险</w:t>
            </w:r>
          </w:p>
        </w:tc>
        <w:tc>
          <w:tcPr>
            <w:tcW w:w="27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影响</w:t>
            </w:r>
          </w:p>
        </w:tc>
        <w:tc>
          <w:tcPr>
            <w:tcW w:w="44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控制措施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流程规则不清晰</w:t>
            </w:r>
          </w:p>
        </w:tc>
        <w:tc>
          <w:tcPr>
            <w:tcW w:w="27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系统上线后反复改流程，现场执行混乱。</w:t>
            </w:r>
          </w:p>
        </w:tc>
        <w:tc>
          <w:tcPr>
            <w:tcW w:w="44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阶段 0 先确认合格判定、返工、维修、报废、特采和委外规则。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岗位权限过宽</w:t>
            </w:r>
          </w:p>
        </w:tc>
        <w:tc>
          <w:tcPr>
            <w:tcW w:w="27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越权修改、错误放行、责任不清。</w:t>
            </w:r>
          </w:p>
        </w:tc>
        <w:tc>
          <w:tcPr>
            <w:tcW w:w="44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实施岗位模板、数据范围、职责分离、临时授权到期回收和审计日志。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批次/序列号设计不足</w:t>
            </w:r>
          </w:p>
        </w:tc>
        <w:tc>
          <w:tcPr>
            <w:tcW w:w="27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无法实现质量追溯和召回分析。</w:t>
            </w:r>
          </w:p>
        </w:tc>
        <w:tc>
          <w:tcPr>
            <w:tcW w:w="44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在试点前明确芯片批次、半成品批次、成品序列号及拆分/合并规则。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库存状态与实物不一致</w:t>
            </w:r>
          </w:p>
        </w:tc>
        <w:tc>
          <w:tcPr>
            <w:tcW w:w="27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影响生产、成本和交期。</w:t>
            </w:r>
          </w:p>
        </w:tc>
        <w:tc>
          <w:tcPr>
            <w:tcW w:w="44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所有工序结论必须绑定库存动作；上线初期每日核对在制品和待判物料。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员工不按系统操作</w:t>
            </w:r>
          </w:p>
        </w:tc>
        <w:tc>
          <w:tcPr>
            <w:tcW w:w="27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出现账外流转和数据失真。</w:t>
            </w:r>
          </w:p>
        </w:tc>
        <w:tc>
          <w:tcPr>
            <w:tcW w:w="44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工位培训、主管稽核、关键扫码控制和异常单闭环。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11.3 上线前必须确认的业务问题</w:t>
      </w:r>
    </w:p>
    <w:p>
      <w:pPr>
        <w:pStyle w:val="Normal"/>
        <w:numPr>
          <w:ilvl w:val="0"/>
          <w:numId w:val="5"/>
        </w:numPr>
      </w:pPr>
      <w:r>
        <w:t xml:space="preserve">芯片是按供应商批次、内部批次还是单颗序列号管理；拆卸植球后的批次如何继承或新建。</w:t>
      </w:r>
    </w:p>
    <w:p>
      <w:pPr>
        <w:pStyle w:val="Normal"/>
        <w:numPr>
          <w:ilvl w:val="0"/>
          <w:numId w:val="5"/>
        </w:numPr>
      </w:pPr>
      <w:r>
        <w:t xml:space="preserve">一条成品内存条是否必须一条一号；成品序列号何时生成、由谁打印和粘贴。</w:t>
      </w:r>
    </w:p>
    <w:p>
      <w:pPr>
        <w:pStyle w:val="Normal"/>
        <w:numPr>
          <w:ilvl w:val="0"/>
          <w:numId w:val="5"/>
        </w:numPr>
      </w:pPr>
      <w:r>
        <w:t xml:space="preserve">每个测试站的项目、阈值、判定规则、不良代码、复判权限和测试程序版本管理方式。</w:t>
      </w:r>
    </w:p>
    <w:p>
      <w:pPr>
        <w:pStyle w:val="Normal"/>
        <w:numPr>
          <w:ilvl w:val="0"/>
          <w:numId w:val="5"/>
        </w:numPr>
      </w:pPr>
      <w:r>
        <w:t xml:space="preserve">委外物料所有权、发料/回料损耗、超损耗审批、供应商交期和复测规则。</w:t>
      </w:r>
    </w:p>
    <w:p>
      <w:pPr>
        <w:pStyle w:val="Normal"/>
        <w:numPr>
          <w:ilvl w:val="0"/>
          <w:numId w:val="5"/>
        </w:numPr>
      </w:pPr>
      <w:r>
        <w:t xml:space="preserve">维修次数上限、不可修判定、报废审批、特采与降级使用规则。</w:t>
      </w:r>
    </w:p>
    <w:p>
      <w:pPr>
        <w:pStyle w:val="Normal"/>
        <w:numPr>
          <w:ilvl w:val="0"/>
          <w:numId w:val="5"/>
        </w:numPr>
      </w:pPr>
      <w:r>
        <w:t xml:space="preserve">仓库、库位、工位的实际物理布局，以及扫码枪、标签打印机和工位终端配置。</w:t>
      </w:r>
    </w:p>
    <w:p>
      <w:pPr>
        <w:pStyle w:val="Heading1"/>
      </w:pPr>
      <w:r>
        <w:t xml:space="preserve">附录 A. 岗位权限矩阵</w:t>
      </w:r>
    </w:p>
    <w:tbl>
      <w:tblPr>
        <w:tblW w:w="8906" w:type="dxa"/>
        <w:tblInd w:w="120" w:type="dxa"/>
        <w:tblLayout w:type="fixed"/>
        <w:tblBorders>
          <w:top w:val="single" w:color="C5D1DD" w:sz="4"/>
          <w:bottom w:val="single" w:color="C5D1DD" w:sz="4"/>
          <w:left w:val="single" w:color="C5D1DD" w:sz="4"/>
          <w:right w:val="single" w:color="C5D1DD" w:sz="4"/>
          <w:insideH w:val="single" w:color="D8E1EA" w:sz="4"/>
          <w:insideV w:val="single" w:color="D8E1EA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200"/>
        <w:gridCol w:w="1800"/>
        <w:gridCol w:w="2106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岗位</w:t>
            </w:r>
          </w:p>
        </w:tc>
        <w:tc>
          <w:tcPr>
            <w:tcW w:w="32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可执行操作</w:t>
            </w:r>
          </w:p>
        </w:tc>
        <w:tc>
          <w:tcPr>
            <w:tcW w:w="1800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数据范围</w:t>
            </w:r>
          </w:p>
        </w:tc>
        <w:tc>
          <w:tcPr>
            <w:tcW w:w="2106" w:type="dxa"/>
            <w:vAlign w:val="center"/>
            <w:shd w:val="clear" w:color="auto" w:fill="E8EEF5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20"/>
                <w:szCs w:val="20"/>
                <w:color w:val="17365D"/>
                <w:b/>
              </w:rPr>
              <w:t xml:space="preserve">明确禁止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系统管理员</w:t>
            </w:r>
          </w:p>
        </w:tc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维护账号、角色、权限、基础配置和审计查询。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全局配置；不参与日常业务审批。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代替业务人员做质量放行、库存调整或工单审批。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工艺工程师</w:t>
            </w:r>
          </w:p>
        </w:tc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维护 BOM、工艺路线、测试规范、作业指导书和版本。</w:t>
            </w:r>
          </w:p>
        </w:tc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授权产品线与工程数据。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代替操作员报工或修改已提交测试原始结果。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生产计划员</w:t>
            </w:r>
          </w:p>
        </w:tc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创建生产计划、工单、排产建议和派工申请。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授权工厂/产品线。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修改质量结论、直接调整库存。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生产主管/领班</w:t>
            </w:r>
          </w:p>
        </w:tc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分配员工、审核异常、调整优先级、审批返工路线。</w:t>
            </w:r>
          </w:p>
        </w:tc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本人班组、工位和授权工单。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修改他人原始测试结果。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拆卸植球/SMT 操作员</w:t>
            </w:r>
          </w:p>
        </w:tc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接收任务、扫码领料、开始/完成报工、申报异常。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本人或本工位任务。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放行质量、维护 BOM、成品入库。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芯片/成品测试员</w:t>
            </w:r>
          </w:p>
        </w:tc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录入测试、老化和复测结果，提交不良。</w:t>
            </w:r>
          </w:p>
        </w:tc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授权测试工位和任务。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维护工艺标准、直接将不良品转为合格库存。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委外专员</w:t>
            </w:r>
          </w:p>
        </w:tc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创建委外单、跟踪供应商进度、登记交接。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授权供应商与委外单。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判定测试合格、修改库存盘点差异。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仓库员</w:t>
            </w:r>
          </w:p>
        </w:tc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收货、领料、退料、调拨、委外发料/回料、半成品/成品入库。</w:t>
            </w:r>
          </w:p>
        </w:tc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授权仓库与库位。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修改测试结论、无审批报废或特采。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质检员</w:t>
            </w:r>
          </w:p>
        </w:tc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检验、隔离、放行、发起不良/返工、目检。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授权产品、检验点和待检库存。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随意调整账面库存或删除测试记录。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维修员</w:t>
            </w:r>
          </w:p>
        </w:tc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接收维修单、登记故障、维修动作和用料、申请复测。</w:t>
            </w:r>
          </w:p>
        </w:tc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授权维修工位与维修单。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自行关闭不良单、放行成品或成品入库。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质量/生产负责人</w:t>
            </w:r>
          </w:p>
        </w:tc>
        <w:tc>
          <w:tcPr>
            <w:tcW w:w="32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审批特采、报废、复判、重大异常和权限申请。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授权组织范围。</w:t>
            </w:r>
          </w:p>
        </w:tc>
        <w:tc>
          <w:tcPr>
            <w:tcW w:w="2106" w:type="dxa"/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直接替代现场员工录入原始作业数据。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管理层/财务</w:t>
            </w:r>
          </w:p>
        </w:tc>
        <w:tc>
          <w:tcPr>
            <w:tcW w:w="32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查看经营、库存、生产与质量报表；审核指定高风险事项。</w:t>
            </w:r>
          </w:p>
        </w:tc>
        <w:tc>
          <w:tcPr>
            <w:tcW w:w="1800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授权公司和报表范围。</w:t>
            </w:r>
          </w:p>
        </w:tc>
        <w:tc>
          <w:tcPr>
            <w:tcW w:w="2106" w:type="dxa"/>
            <w:vAlign w:val="center"/>
            <w:shd w:val="clear" w:color="auto" w:fill="F7F9FB"/>
          </w:tcPr>
          <w:p>
            <w:pPr>
              <w:spacing w:after="0" w:line="260" w:lineRule="auto"/>
              <w:jc w:val="left"/>
            </w:pPr>
            <w:r>
              <w:rPr>
                <w:rFonts w:ascii="Calibri" w:hAnsi="Calibri" w:eastAsia="Microsoft YaHei"/>
                <w:sz w:val="19"/>
                <w:szCs w:val="19"/>
                <w:color w:val="222222"/>
              </w:rPr>
              <w:t xml:space="preserve">无业务依据修改现场原始记录。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附录 B. 参考资料</w:t>
      </w:r>
    </w:p>
    <w:p>
      <w:pPr>
        <w:pStyle w:val="Normal"/>
      </w:pPr>
      <w:r>
        <w:t xml:space="preserve">1. ERPNext 官方文档与源码库：制造、委外、质量、批次/序列号、用户权限与许可证资料。</w:t>
      </w:r>
    </w:p>
    <w:p>
      <w:pPr>
        <w:pStyle w:val="Normal"/>
      </w:pPr>
      <w:r>
        <w:t xml:space="preserve">2. Odoo Community 官方源码库与许可资料。</w:t>
      </w:r>
    </w:p>
    <w:p>
      <w:pPr>
        <w:pStyle w:val="Normal"/>
      </w:pPr>
      <w:r>
        <w:t xml:space="preserve">3. iDempiere 官方源码库与许可资料。</w:t>
      </w:r>
    </w:p>
    <w:p>
      <w:pPr>
        <w:pStyle w:val="Normal"/>
      </w:pPr>
      <w:r>
        <w:t xml:space="preserve">以上资料用于开源 ERP 选型的初步判断；最终技术与许可证决策应结合实施团队、二次开发范围和公司合规要求确认。</w:t>
      </w:r>
    </w:p>
    <w:sectPr>
      <w:headerReference xmlns:r="http://schemas.openxmlformats.org/officeDocument/2006/relationships" w:type="first" r:id="R82877eb6dd914697"/>
      <w:headerReference xmlns:r="http://schemas.openxmlformats.org/officeDocument/2006/relationships" w:type="default" r:id="R4f02d68c37b3440d"/>
      <w:footerReference xmlns:r="http://schemas.openxmlformats.org/officeDocument/2006/relationships" w:type="first" r:id="R7629806c3e504e57"/>
      <w:footerReference xmlns:r="http://schemas.openxmlformats.org/officeDocument/2006/relationships" w:type="default" r:id="R65e93bd505804717"/>
      <w:titlePg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right"/>
      <w:spacing w:before="40"/>
    </w:pPr>
    <w:r>
      <w:rPr>
        <w:rFonts w:ascii="Calibri" w:hAnsi="Calibri" w:eastAsia="Microsoft YaHei"/>
        <w:sz w:val="18"/>
        <w:color w:val="7A8794"/>
      </w:rPr>
      <w:t xml:space="preserve">内部讨论稿  |  第 </w:t>
    </w:r>
    <w:r>
      <w:rPr>
        <w:rFonts w:ascii="Calibri" w:hAnsi="Calibri" w:eastAsia="Microsoft YaHei"/>
        <w:sz w:val="18"/>
        <w:color w:val="7A8794"/>
      </w:rPr>
      <w:fldChar w:fldCharType="begin"/>
    </w:r>
    <w:r>
      <w:rPr>
        <w:rFonts w:ascii="Calibri" w:hAnsi="Calibri" w:eastAsia="Microsoft YaHei"/>
        <w:sz w:val="18"/>
        <w:color w:val="7A8794"/>
      </w:rPr>
      <w:instrText xml:space="preserve"> PAGE </w:instrText>
    </w:r>
    <w:r>
      <w:rPr>
        <w:rFonts w:ascii="Calibri" w:hAnsi="Calibri" w:eastAsia="Microsoft YaHei"/>
        <w:sz w:val="18"/>
        <w:color w:val="7A8794"/>
      </w:rPr>
      <w:fldChar w:fldCharType="end"/>
    </w:r>
    <w:r>
      <w:rPr>
        <w:rFonts w:ascii="Calibri" w:hAnsi="Calibri" w:eastAsia="Microsoft YaHei"/>
        <w:sz w:val="18"/>
        <w:color w:val="7A8794"/>
      </w:rPr>
      <w:t xml:space="preserve"> 页</w:t>
    </w:r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pBdr>
        <w:bottom w:val="single" w:color="B7C9DE" w:sz="4" w:space="4"/>
      </w:pBdr>
      <w:jc w:val="left"/>
      <w:spacing w:after="40"/>
    </w:pPr>
    <w:r>
      <w:rPr>
        <w:rFonts w:ascii="Calibri" w:hAnsi="Calibri" w:eastAsia="Microsoft YaHei"/>
        <w:sz w:val="18"/>
        <w:color w:val="5A6B7C"/>
      </w:rPr>
      <w:t>内存条 ERP + MES 一体化系统完整解决方案说明书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  <w:spacing w:after="80" w:line="290" w:lineRule="auto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  <w:spacing w:after="80" w:line="290" w:lineRule="auto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w="http://schemas.openxmlformats.org/wordprocessingml/2006/main">
  <w:updateFields w:val="true"/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Arial"/>
        <w:sz w:val="22"/>
        <w:szCs w:val="22"/>
        <w:color w:val="222222"/>
        <w:lang w:val="zh-CN" w:eastAsia="zh-CN"/>
      </w:rPr>
    </w:rPrDefault>
    <w:pPrDefault>
      <w:pPr>
        <w:spacing w:after="160" w:line="320" w:lineRule="auto"/>
        <w:jc w:val="both"/>
      </w:pPr>
    </w:pPrDefault>
  </w:docDefaults>
  <w:style w:type="paragraph" w:styleId="Normal" w:default="true">
    <w:name w:val="Normal"/>
    <w:uiPriority w:val="1"/>
    <w:qFormat/>
    <w:pPr>
      <w:spacing w:before="0" w:after="160" w:line="320" w:lineRule="auto"/>
    </w:pPr>
    <w:rPr>
      <w:rFonts w:ascii="Calibri" w:hAnsi="Calibri" w:eastAsia="Microsoft YaHei" w:cs="Arial"/>
      <w:sz w:val="22"/>
      <w:szCs w:val="22"/>
      <w:color w:val="222222"/>
    </w:rPr>
  </w:style>
  <w:style w:type="paragraph" w:styleId="CoverKicker" w:default="false">
    <w:name w:val="Cover Kicker"/>
    <w:uiPriority w:val="1"/>
    <w:qFormat/>
    <w:pPr>
      <w:spacing w:before="0" w:after="100" w:line="240" w:lineRule="auto"/>
      <w:jc w:val="center"/>
    </w:pPr>
    <w:rPr>
      <w:rFonts w:ascii="Calibri" w:hAnsi="Calibri" w:eastAsia="Microsoft YaHei" w:cs="Arial"/>
      <w:sz w:val="22"/>
      <w:szCs w:val="22"/>
      <w:color w:val="4472C4"/>
      <w:b/>
      <w:bCs/>
    </w:rPr>
  </w:style>
  <w:style w:type="paragraph" w:styleId="CoverTitle" w:default="false">
    <w:name w:val="Cover Title"/>
    <w:uiPriority w:val="1"/>
    <w:qFormat/>
    <w:pPr>
      <w:spacing w:before="240" w:after="120" w:line="300" w:lineRule="auto"/>
      <w:jc w:val="center"/>
    </w:pPr>
    <w:rPr>
      <w:rFonts w:ascii="Calibri" w:hAnsi="Calibri" w:eastAsia="Microsoft YaHei" w:cs="Arial"/>
      <w:sz w:val="48"/>
      <w:szCs w:val="48"/>
      <w:color w:val="17365D"/>
      <w:b/>
      <w:bCs/>
    </w:rPr>
  </w:style>
  <w:style w:type="paragraph" w:styleId="CoverSubtitle" w:default="false">
    <w:name w:val="Cover Subtitle"/>
    <w:uiPriority w:val="1"/>
    <w:qFormat/>
    <w:pPr>
      <w:spacing w:before="0" w:after="600" w:line="280" w:lineRule="auto"/>
      <w:jc w:val="center"/>
    </w:pPr>
    <w:rPr>
      <w:rFonts w:ascii="Calibri" w:hAnsi="Calibri" w:eastAsia="Microsoft YaHei" w:cs="Arial"/>
      <w:sz w:val="28"/>
      <w:szCs w:val="28"/>
      <w:color w:val="405060"/>
    </w:rPr>
  </w:style>
  <w:style w:type="paragraph" w:styleId="Caption" w:default="false">
    <w:name w:val="Caption"/>
    <w:uiPriority w:val="1"/>
    <w:qFormat/>
    <w:pPr>
      <w:spacing w:before="40" w:after="180" w:line="240" w:lineRule="auto"/>
      <w:jc w:val="center"/>
    </w:pPr>
    <w:rPr>
      <w:rFonts w:ascii="Calibri" w:hAnsi="Calibri" w:eastAsia="Microsoft YaHei" w:cs="Arial"/>
      <w:sz w:val="18"/>
      <w:szCs w:val="18"/>
      <w:color w:val="666666"/>
    </w:rPr>
  </w:style>
  <w:style w:type="paragraph" w:styleId="CalloutTitle" w:default="false">
    <w:name w:val="Callout Title"/>
    <w:uiPriority w:val="1"/>
    <w:qFormat/>
    <w:pPr>
      <w:spacing w:before="0" w:after="40" w:line="260" w:lineRule="auto"/>
      <w:jc w:val="left"/>
    </w:pPr>
    <w:rPr>
      <w:rFonts w:ascii="Calibri" w:hAnsi="Calibri" w:eastAsia="Microsoft YaHei" w:cs="Arial"/>
      <w:sz w:val="22"/>
      <w:szCs w:val="22"/>
      <w:color w:val="17365D"/>
      <w:b/>
      <w:bCs/>
    </w:rPr>
  </w:style>
  <w:style w:type="paragraph" w:styleId="CalloutBody" w:default="false">
    <w:name w:val="Callout Body"/>
    <w:uiPriority w:val="1"/>
    <w:qFormat/>
    <w:pPr>
      <w:spacing w:before="0" w:after="0" w:line="280" w:lineRule="auto"/>
      <w:jc w:val="left"/>
    </w:pPr>
    <w:rPr>
      <w:rFonts w:ascii="Calibri" w:hAnsi="Calibri" w:eastAsia="Microsoft YaHei" w:cs="Arial"/>
      <w:sz w:val="20"/>
      <w:szCs w:val="20"/>
      <w:color w:val="33333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160" w:line="280" w:lineRule="auto"/>
      <w:outlineLvl w:val="0"/>
    </w:pPr>
    <w:rPr>
      <w:rFonts w:ascii="Calibri" w:hAnsi="Calibri" w:eastAsia="Microsoft YaHei" w:cs="Arial"/>
      <w:sz w:val="32"/>
      <w:szCs w:val="32"/>
      <w:color w:val="2E74B5"/>
      <w:b/>
      <w:bCs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20" w:line="280" w:lineRule="auto"/>
      <w:outlineLvl w:val="1"/>
    </w:pPr>
    <w:rPr>
      <w:rFonts w:ascii="Calibri" w:hAnsi="Calibri" w:eastAsia="Microsoft YaHei" w:cs="Arial"/>
      <w:sz w:val="26"/>
      <w:szCs w:val="26"/>
      <w:color w:val="2E74B5"/>
      <w:b/>
      <w:bCs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80" w:line="280" w:lineRule="auto"/>
      <w:outlineLvl w:val="2"/>
    </w:pPr>
    <w:rPr>
      <w:rFonts w:ascii="Calibri" w:hAnsi="Calibri" w:eastAsia="Microsoft YaHei" w:cs="Arial"/>
      <w:sz w:val="24"/>
      <w:szCs w:val="24"/>
      <w:color w:val="1F4D78"/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7079ea84ad4edd" /><Relationship Type="http://schemas.openxmlformats.org/officeDocument/2006/relationships/numbering" Target="/word/numbering.xml" Id="R6c6a33844cba497a" /><Relationship Type="http://schemas.openxmlformats.org/officeDocument/2006/relationships/settings" Target="/word/settings.xml" Id="R3d5057bf4b0c409d" /><Relationship Type="http://schemas.openxmlformats.org/officeDocument/2006/relationships/header" Target="/word/header1.xml" Id="R82877eb6dd914697" /><Relationship Type="http://schemas.openxmlformats.org/officeDocument/2006/relationships/header" Target="/word/header2.xml" Id="R4f02d68c37b3440d" /><Relationship Type="http://schemas.openxmlformats.org/officeDocument/2006/relationships/footer" Target="/word/footer1.xml" Id="R7629806c3e504e57" /><Relationship Type="http://schemas.openxmlformats.org/officeDocument/2006/relationships/footer" Target="/word/footer2.xml" Id="R65e93bd505804717" /><Relationship Type="http://schemas.openxmlformats.org/officeDocument/2006/relationships/image" Target="/media/image.png" Id="R45fc3332f98947ca" /></Relationships>
</file>