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Leviathan Boopers as Gap-Response Operators</w:t>
      </w:r>
    </w:p>
    <w:p>
      <w:pPr>
        <w:jc w:val="center"/>
      </w:pPr>
      <w:r>
        <w:rPr>
          <w:b/>
        </w:rPr>
        <w:t>Hypothesis seed arising from Project Mímir</w:t>
      </w:r>
    </w:p>
    <w:p>
      <w:pPr>
        <w:pStyle w:val="Heading1"/>
      </w:pPr>
      <w:r>
        <w:t>1. Why capture this now</w:t>
      </w:r>
    </w:p>
    <w:p>
      <w:r>
        <w:t>Project Mímir introduces a possible theoretical substrate for an older Leviathan intuition: the 'booper'. Boopers were conceived as small corrective interventions within a larger reasoning process, but their deeper trigger condition and function were not yet well characterised. Mímir's focus on representational gaps and blind spots suggests a new interpretation worth preserving for later testing.</w:t>
      </w:r>
    </w:p>
    <w:p>
      <w:pPr>
        <w:pStyle w:val="Heading1"/>
      </w:pPr>
      <w:r>
        <w:t>2. Working hypothesis</w:t>
      </w:r>
    </w:p>
    <w:p>
      <w:r>
        <w:rPr>
          <w:b/>
        </w:rPr>
        <w:t>A booper may be a local intervention triggered when the current representational geometry does not adequately support the next reasoning transformation.</w:t>
      </w:r>
    </w:p>
    <w:p>
      <w:r>
        <w:t>Rather than functioning as another generic reasoning step, a booper may respond to an 'instinctive' structural signal that something is missing, unsupported, contradictory, misaligned, or unstable. Its role would be to probe or map that void, select an appropriate corrective action, and prevent the larger reasoning trajectory from silently bridging an unsupported region.</w:t>
      </w:r>
    </w:p>
    <w:p>
      <w:pPr>
        <w:pStyle w:val="Heading1"/>
      </w:pPr>
      <w:r>
        <w:t>3. Primitive form</w:t>
      </w:r>
    </w:p>
    <w:p>
      <w:pPr>
        <w:jc w:val="center"/>
      </w:pPr>
      <w:r>
        <w:rPr>
          <w:b/>
        </w:rPr>
        <w:t>detect tension → characterise void → choose response → test restoration → continue / reroute / preserve unknown</w:t>
      </w:r>
    </w:p>
    <w:p>
      <w:r>
        <w:t>This differs from 'detect problem → think harder'. The response should depend on the topology of the deficiency.</w:t>
      </w:r>
    </w:p>
    <w:p>
      <w:pPr>
        <w:pStyle w:val="Heading1"/>
      </w:pPr>
      <w:r>
        <w:t>4. Example reasoning geometry</w:t>
      </w:r>
    </w:p>
    <w:p>
      <w:r>
        <w:t>Suppose a reasoning path appears to contain:</w:t>
      </w:r>
    </w:p>
    <w:p>
      <w:pPr>
        <w:jc w:val="center"/>
      </w:pPr>
      <w:r>
        <w:rPr>
          <w:b/>
          <w:sz w:val="28"/>
        </w:rPr>
        <w:t>A → B → C → ? → E</w:t>
      </w:r>
    </w:p>
    <w:p>
      <w:r>
        <w:t>A conventional generative process may be strongly tempted to manufacture a plausible D and continue. A booper could instead detect that the transition is insufficiently supported, stop local continuation, probe the missing relationship, rotate or decompose the representation, seek another path, request evidence, or explicitly preserve the unknown.</w:t>
      </w:r>
    </w:p>
    <w:p>
      <w:pPr>
        <w:pStyle w:val="Heading1"/>
      </w:pPr>
      <w:r>
        <w:t>5. Candidate booper classes</w:t>
      </w:r>
    </w:p>
    <w:tbl>
      <w:tblPr>
        <w:tblStyle w:val="TableGrid"/>
        <w:tblW w:type="auto" w:w="0"/>
        <w:tblLook w:firstColumn="1" w:firstRow="1" w:lastColumn="0" w:lastRow="0" w:noHBand="0" w:noVBand="1" w:val="04A0"/>
      </w:tblPr>
      <w:tblGrid>
        <w:gridCol w:w="3264"/>
        <w:gridCol w:w="3264"/>
        <w:gridCol w:w="3264"/>
      </w:tblGrid>
      <w:tr>
        <w:tc>
          <w:tcPr>
            <w:tcW w:type="dxa" w:w="3264"/>
          </w:tcPr>
          <w:p>
            <w:r>
              <w:t>Gap condition</w:t>
            </w:r>
          </w:p>
        </w:tc>
        <w:tc>
          <w:tcPr>
            <w:tcW w:type="dxa" w:w="3264"/>
          </w:tcPr>
          <w:p>
            <w:r>
              <w:t>Possible boop</w:t>
            </w:r>
          </w:p>
        </w:tc>
        <w:tc>
          <w:tcPr>
            <w:tcW w:type="dxa" w:w="3264"/>
          </w:tcPr>
          <w:p>
            <w:r>
              <w:t>Desired effect</w:t>
            </w:r>
          </w:p>
        </w:tc>
      </w:tr>
      <w:tr>
        <w:tc>
          <w:tcPr>
            <w:tcW w:type="dxa" w:w="3264"/>
          </w:tcPr>
          <w:p>
            <w:r>
              <w:t>Missing evidence</w:t>
            </w:r>
          </w:p>
        </w:tc>
        <w:tc>
          <w:tcPr>
            <w:tcW w:type="dxa" w:w="3264"/>
          </w:tcPr>
          <w:p>
            <w:r>
              <w:t>Request/retrieve another evidence channel</w:t>
            </w:r>
          </w:p>
        </w:tc>
        <w:tc>
          <w:tcPr>
            <w:tcW w:type="dxa" w:w="3264"/>
          </w:tcPr>
          <w:p>
            <w:r>
              <w:t>Avoid inference from absent premises</w:t>
            </w:r>
          </w:p>
        </w:tc>
      </w:tr>
      <w:tr>
        <w:tc>
          <w:tcPr>
            <w:tcW w:type="dxa" w:w="3264"/>
          </w:tcPr>
          <w:p>
            <w:r>
              <w:t>Missing relationship</w:t>
            </w:r>
          </w:p>
        </w:tc>
        <w:tc>
          <w:tcPr>
            <w:tcW w:type="dxa" w:w="3264"/>
          </w:tcPr>
          <w:p>
            <w:r>
              <w:t>Probe transformations or alternate paths</w:t>
            </w:r>
          </w:p>
        </w:tc>
        <w:tc>
          <w:tcPr>
            <w:tcW w:type="dxa" w:w="3264"/>
          </w:tcPr>
          <w:p>
            <w:r>
              <w:t>Expose a relation not represented explicitly</w:t>
            </w:r>
          </w:p>
        </w:tc>
      </w:tr>
      <w:tr>
        <w:tc>
          <w:tcPr>
            <w:tcW w:type="dxa" w:w="3264"/>
          </w:tcPr>
          <w:p>
            <w:r>
              <w:t>Abstraction mismatch</w:t>
            </w:r>
          </w:p>
        </w:tc>
        <w:tc>
          <w:tcPr>
            <w:tcW w:type="dxa" w:w="3264"/>
          </w:tcPr>
          <w:p>
            <w:r>
              <w:t>Shift level of representation</w:t>
            </w:r>
          </w:p>
        </w:tc>
        <w:tc>
          <w:tcPr>
            <w:tcW w:type="dxa" w:w="3264"/>
          </w:tcPr>
          <w:p>
            <w:r>
              <w:t>Bring incompatible scales into comparable form</w:t>
            </w:r>
          </w:p>
        </w:tc>
      </w:tr>
      <w:tr>
        <w:tc>
          <w:tcPr>
            <w:tcW w:type="dxa" w:w="3264"/>
          </w:tcPr>
          <w:p>
            <w:r>
              <w:t>Conflicting provenance</w:t>
            </w:r>
          </w:p>
        </w:tc>
        <w:tc>
          <w:tcPr>
            <w:tcW w:type="dxa" w:w="3264"/>
          </w:tcPr>
          <w:p>
            <w:r>
              <w:t>Separate and preserve sources</w:t>
            </w:r>
          </w:p>
        </w:tc>
        <w:tc>
          <w:tcPr>
            <w:tcW w:type="dxa" w:w="3264"/>
          </w:tcPr>
          <w:p>
            <w:r>
              <w:t>Prevent premature collapse into one account</w:t>
            </w:r>
          </w:p>
        </w:tc>
      </w:tr>
      <w:tr>
        <w:tc>
          <w:tcPr>
            <w:tcW w:type="dxa" w:w="3264"/>
          </w:tcPr>
          <w:p>
            <w:r>
              <w:t>Unsupported inferential jump</w:t>
            </w:r>
          </w:p>
        </w:tc>
        <w:tc>
          <w:tcPr>
            <w:tcW w:type="dxa" w:w="3264"/>
          </w:tcPr>
          <w:p>
            <w:r>
              <w:t>Backtrack/decompose/test bridge</w:t>
            </w:r>
          </w:p>
        </w:tc>
        <w:tc>
          <w:tcPr>
            <w:tcW w:type="dxa" w:w="3264"/>
          </w:tcPr>
          <w:p>
            <w:r>
              <w:t>Stop plausible language from masquerading as support</w:t>
            </w:r>
          </w:p>
        </w:tc>
      </w:tr>
      <w:tr>
        <w:tc>
          <w:tcPr>
            <w:tcW w:type="dxa" w:w="3264"/>
          </w:tcPr>
          <w:p>
            <w:r>
              <w:t>Uncertainty mismatch</w:t>
            </w:r>
          </w:p>
        </w:tc>
        <w:tc>
          <w:tcPr>
            <w:tcW w:type="dxa" w:w="3264"/>
          </w:tcPr>
          <w:p>
            <w:r>
              <w:t>Expose uncertainty structure</w:t>
            </w:r>
          </w:p>
        </w:tc>
        <w:tc>
          <w:tcPr>
            <w:tcW w:type="dxa" w:w="3264"/>
          </w:tcPr>
          <w:p>
            <w:r>
              <w:t>Prevent false precision</w:t>
            </w:r>
          </w:p>
        </w:tc>
      </w:tr>
      <w:tr>
        <w:tc>
          <w:tcPr>
            <w:tcW w:type="dxa" w:w="3264"/>
          </w:tcPr>
          <w:p>
            <w:r>
              <w:t>Irreducible unknown</w:t>
            </w:r>
          </w:p>
        </w:tc>
        <w:tc>
          <w:tcPr>
            <w:tcW w:type="dxa" w:w="3264"/>
          </w:tcPr>
          <w:p>
            <w:r>
              <w:t>Mark and preserve the void</w:t>
            </w:r>
          </w:p>
        </w:tc>
        <w:tc>
          <w:tcPr>
            <w:tcW w:type="dxa" w:w="3264"/>
          </w:tcPr>
          <w:p>
            <w:r>
              <w:t>Recognise that absence itself can be information</w:t>
            </w:r>
          </w:p>
        </w:tc>
      </w:tr>
    </w:tbl>
    <w:p>
      <w:pPr>
        <w:pStyle w:val="Heading1"/>
      </w:pPr>
      <w:r>
        <w:t>6. Relationship to Project Mímir</w:t>
      </w:r>
    </w:p>
    <w:p>
      <w:r>
        <w:t>Mímir studies gaps between and within representations. If it can empirically characterise recurring gap topologies, those findings may provide a vocabulary and detection substrate for Leviathan's boopers.</w:t>
      </w:r>
    </w:p>
    <w:p>
      <w:r>
        <w:t>Mímir may therefore do more than feed Leviathan richer information. It may help identify what a reasoning system needs to notice when information or support is missing.</w:t>
      </w:r>
    </w:p>
    <w:p>
      <w:r>
        <w:t xml:space="preserve">Project Mímir research seeds are available at </w:t>
      </w:r>
      <w:hyperlink r:id="rId9">
        <w:r>
          <w:rPr>
            <w:color w:val="0000FF"/>
            <w:u w:val="single"/>
          </w:rPr>
          <w:t>github.com/instance001/project-mimir</w:t>
        </w:r>
      </w:hyperlink>
      <w:r>
        <w:t>.</w:t>
      </w:r>
    </w:p>
    <w:p>
      <w:pPr>
        <w:pStyle w:val="Heading1"/>
      </w:pPr>
      <w:r>
        <w:t>7. Relationship to Leviathan</w:t>
      </w:r>
    </w:p>
    <w:p>
      <w:r>
        <w:t>Leviathan remains the programme concerned with mechanically abstracting reasoning. Under this hypothesis, boopers would be local stability and gap-response mechanisms within that machinery. They would not necessarily solve the missing structure themselves; they would recognise a deficiency and route the reasoning process toward an appropriate response.</w:t>
      </w:r>
    </w:p>
    <w:p>
      <w:pPr>
        <w:pStyle w:val="Heading1"/>
      </w:pPr>
      <w:r>
        <w:t>8. Possible Mímir ↔ Leviathan loop</w:t>
      </w:r>
    </w:p>
    <w:p>
      <w:pPr>
        <w:pStyle w:val="ListNumber"/>
      </w:pPr>
      <w:r>
        <w:t>Leviathan encounters representational tension during a reasoning trajectory.</w:t>
      </w:r>
    </w:p>
    <w:p>
      <w:pPr>
        <w:pStyle w:val="ListNumber"/>
      </w:pPr>
      <w:r>
        <w:t>A booper detects that the next transformation lacks adequate support.</w:t>
      </w:r>
    </w:p>
    <w:p>
      <w:pPr>
        <w:pStyle w:val="ListNumber"/>
      </w:pPr>
      <w:r>
        <w:t>The local gap is characterised using a topology informed by Mímir.</w:t>
      </w:r>
    </w:p>
    <w:p>
      <w:pPr>
        <w:pStyle w:val="ListNumber"/>
      </w:pPr>
      <w:r>
        <w:t>The system chooses a response: probe, decompose, retrieve, reroute, escalate, or preserve unknown.</w:t>
      </w:r>
    </w:p>
    <w:p>
      <w:pPr>
        <w:pStyle w:val="ListNumber"/>
      </w:pPr>
      <w:r>
        <w:t>Where necessary, the gap is handed upstream to Mímir or another specialist for richer mapping.</w:t>
      </w:r>
    </w:p>
    <w:p>
      <w:pPr>
        <w:pStyle w:val="ListNumber"/>
      </w:pPr>
      <w:r>
        <w:t>The resulting representation returns to Leviathan.</w:t>
      </w:r>
    </w:p>
    <w:p>
      <w:pPr>
        <w:pStyle w:val="ListNumber"/>
      </w:pPr>
      <w:r>
        <w:t>The proposed transformation is tested again before continuation.</w:t>
      </w:r>
    </w:p>
    <w:p>
      <w:pPr>
        <w:pStyle w:val="Heading1"/>
      </w:pPr>
      <w:r>
        <w:t>9. Important distinction: absence can be a valid result</w:t>
      </w:r>
    </w:p>
    <w:p>
      <w:r>
        <w:t>A successful booper should not always fill a gap. In some cases the correct intervention may be to prevent filling it. If available evidence cannot support a transition, preserving an explicit unknown may be more faithful than producing a locally coherent continuation.</w:t>
      </w:r>
    </w:p>
    <w:p>
      <w:pPr>
        <w:jc w:val="center"/>
      </w:pPr>
      <w:r>
        <w:rPr>
          <w:b/>
        </w:rPr>
        <w:t>Some voids are problems to solve. Some voids are facts to preserve.</w:t>
      </w:r>
    </w:p>
    <w:p>
      <w:pPr>
        <w:pStyle w:val="Heading1"/>
      </w:pPr>
      <w:r>
        <w:t>10. Experimental implications</w:t>
      </w:r>
    </w:p>
    <w:p>
      <w:r>
        <w:t>This interpretation is a hypothesis, not a settled description of Leviathan. Project Mímir may eventually provide ways to test whether measurable representational tension predicts reasoning failures and whether targeted boops improve outcomes without simply increasing computation.</w:t>
      </w:r>
    </w:p>
    <w:p>
      <w:pPr>
        <w:pStyle w:val="ListBullet"/>
      </w:pPr>
      <w:r>
        <w:t>Can a deterministic or bounded detector identify unsupported transitions before failure?</w:t>
      </w:r>
    </w:p>
    <w:p>
      <w:pPr>
        <w:pStyle w:val="ListBullet"/>
      </w:pPr>
      <w:r>
        <w:t>Do different gap topologies benefit from different interventions?</w:t>
      </w:r>
    </w:p>
    <w:p>
      <w:pPr>
        <w:pStyle w:val="ListBullet"/>
      </w:pPr>
      <w:r>
        <w:t>Does a booper reduce fabricated bridges while preserving legitimate abstraction?</w:t>
      </w:r>
    </w:p>
    <w:p>
      <w:pPr>
        <w:pStyle w:val="ListBullet"/>
      </w:pPr>
      <w:r>
        <w:t>Can 'preserve unknown' outperform forced continuation on underdetermined tasks?</w:t>
      </w:r>
    </w:p>
    <w:p>
      <w:pPr>
        <w:pStyle w:val="ListBullet"/>
      </w:pPr>
      <w:r>
        <w:t>Can Mímir-derived topology labels predict which booper class is useful?</w:t>
      </w:r>
    </w:p>
    <w:p>
      <w:pPr>
        <w:pStyle w:val="ListBullet"/>
      </w:pPr>
      <w:r>
        <w:t>Do boopers improve reasoning quality because they add information, change representation, or alter transformation choice?</w:t>
      </w:r>
    </w:p>
    <w:p>
      <w:pPr>
        <w:pStyle w:val="Heading1"/>
      </w:pPr>
      <w:r>
        <w:t>11. Design caution</w:t>
      </w:r>
    </w:p>
    <w:p>
      <w:r>
        <w:t>Do not retrofit every Leviathan irregularity into this explanation. The concept should remain provisional until experiments distinguish genuine gap-response behaviour from generic error correction, search, uncertainty handling, or additional reasoning steps. Mímir should inform the hypothesis without being designed to prove it.</w:t>
      </w:r>
    </w:p>
    <w:p>
      <w:pPr>
        <w:pStyle w:val="Heading1"/>
      </w:pPr>
      <w:r>
        <w:t>12. Compact formulation</w:t>
      </w:r>
    </w:p>
    <w:p>
      <w:r>
        <w:rPr>
          <w:b/>
        </w:rPr>
        <w:t>A Leviathan booper may be a local gap-response operator: a mechanism that detects insufficiently supported representational geometry, characterises the void, and applies or routes a bounded corrective intervention so the reasoning process does not become unbalanced by silently reasoning across missing structure.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instance001/project-mim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