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Leviathan + Epistemic Cartography</w:t>
      </w:r>
    </w:p>
    <w:p>
      <w:pPr>
        <w:jc w:val="center"/>
      </w:pPr>
      <w:r>
        <w:rPr>
          <w:b/>
        </w:rPr>
        <w:t>Integration research seed</w:t>
      </w:r>
    </w:p>
    <w:p>
      <w:pPr>
        <w:pStyle w:val="Heading1"/>
      </w:pPr>
      <w:r>
        <w:t>1. The complementary systems</w:t>
      </w:r>
    </w:p>
    <w:p>
      <w:r>
        <w:t>Leviathan and the emerging double-blind epistemic-topology project attack different layers of the same larger problem.</w:t>
      </w:r>
    </w:p>
    <w:tbl>
      <w:tblPr>
        <w:tblStyle w:val="TableGrid"/>
        <w:tblW w:type="auto" w:w="0"/>
        <w:tblLook w:firstColumn="1" w:firstRow="1" w:lastColumn="0" w:lastRow="0" w:noHBand="0" w:noVBand="1" w:val="04A0"/>
      </w:tblPr>
      <w:tblGrid>
        <w:gridCol w:w="3312"/>
        <w:gridCol w:w="3312"/>
        <w:gridCol w:w="3312"/>
      </w:tblGrid>
      <w:tr>
        <w:tc>
          <w:tcPr>
            <w:tcW w:type="dxa" w:w="3312"/>
          </w:tcPr>
          <w:p>
            <w:r>
              <w:t>System</w:t>
            </w:r>
          </w:p>
        </w:tc>
        <w:tc>
          <w:tcPr>
            <w:tcW w:type="dxa" w:w="3312"/>
          </w:tcPr>
          <w:p>
            <w:r>
              <w:t>Primary question</w:t>
            </w:r>
          </w:p>
        </w:tc>
        <w:tc>
          <w:tcPr>
            <w:tcW w:type="dxa" w:w="3312"/>
          </w:tcPr>
          <w:p>
            <w:r>
              <w:t>Role</w:t>
            </w:r>
          </w:p>
        </w:tc>
      </w:tr>
      <w:tr>
        <w:tc>
          <w:tcPr>
            <w:tcW w:type="dxa" w:w="3312"/>
          </w:tcPr>
          <w:p>
            <w:r>
              <w:t>Leviathan</w:t>
            </w:r>
          </w:p>
        </w:tc>
        <w:tc>
          <w:tcPr>
            <w:tcW w:type="dxa" w:w="3312"/>
          </w:tcPr>
          <w:p>
            <w:r>
              <w:t>How can reasoning be mechanically abstracted, decomposed, transformed, routed, and recomposed?</w:t>
            </w:r>
          </w:p>
        </w:tc>
        <w:tc>
          <w:tcPr>
            <w:tcW w:type="dxa" w:w="3312"/>
          </w:tcPr>
          <w:p>
            <w:r>
              <w:t>Reasoning / transformation engine</w:t>
            </w:r>
          </w:p>
        </w:tc>
      </w:tr>
      <w:tr>
        <w:tc>
          <w:tcPr>
            <w:tcW w:type="dxa" w:w="3312"/>
          </w:tcPr>
          <w:p>
            <w:r>
              <w:t>Epistemic cartography project</w:t>
            </w:r>
          </w:p>
        </w:tc>
        <w:tc>
          <w:tcPr>
            <w:tcW w:type="dxa" w:w="3312"/>
          </w:tcPr>
          <w:p>
            <w:r>
              <w:t>How can independent interpreters be overlaid to expose convergence, divergence, complementary coverage, conflict, and shared blind spots?</w:t>
            </w:r>
          </w:p>
        </w:tc>
        <w:tc>
          <w:tcPr>
            <w:tcW w:type="dxa" w:w="3312"/>
          </w:tcPr>
          <w:p>
            <w:r>
              <w:t>Interpretation / information-mapping engine</w:t>
            </w:r>
          </w:p>
        </w:tc>
      </w:tr>
    </w:tbl>
    <w:p>
      <w:r>
        <w:t>A capable reasoning engine can still reason over an impoverished representation. A rich representation can still be wasted by weak reasoning. The integration hypothesis is that improving both the map and the machinery that traverses the map can produce capabilities unavailable from either component alone.</w:t>
      </w:r>
    </w:p>
    <w:p>
      <w:pPr>
        <w:pStyle w:val="Heading1"/>
      </w:pPr>
      <w:r>
        <w:t>2. Combined architecture</w:t>
      </w:r>
    </w:p>
    <w:p>
      <w:pPr>
        <w:pStyle w:val="ListNumber"/>
      </w:pPr>
      <w:r>
        <w:t>Reality, stimulus, evidence, or problem</w:t>
      </w:r>
    </w:p>
    <w:p>
      <w:pPr>
        <w:pStyle w:val="ListNumber"/>
      </w:pPr>
      <w:r>
        <w:t>Independent interpretation by human H and model M</w:t>
      </w:r>
    </w:p>
    <w:p>
      <w:pPr>
        <w:pStyle w:val="ListNumber"/>
      </w:pPr>
      <w:r>
        <w:t>Responses locked before cross-exposure</w:t>
      </w:r>
    </w:p>
    <w:p>
      <w:pPr>
        <w:pStyle w:val="ListNumber"/>
      </w:pPr>
      <w:r>
        <w:t>Deterministic topology overlay</w:t>
      </w:r>
    </w:p>
    <w:p>
      <w:pPr>
        <w:pStyle w:val="ListNumber"/>
      </w:pPr>
      <w:r>
        <w:t>Detection of asymmetric gaps, conflicts, and shared blind spots</w:t>
      </w:r>
    </w:p>
    <w:p>
      <w:pPr>
        <w:pStyle w:val="ListNumber"/>
      </w:pPr>
      <w:r>
        <w:t>Optional routing to gap-specialist components C1...Cn</w:t>
      </w:r>
    </w:p>
    <w:p>
      <w:pPr>
        <w:pStyle w:val="ListNumber"/>
      </w:pPr>
      <w:r>
        <w:t>Composite, provenance-preserving information representation</w:t>
      </w:r>
    </w:p>
    <w:p>
      <w:pPr>
        <w:pStyle w:val="ListNumber"/>
      </w:pPr>
      <w:r>
        <w:t>Leviathan-style mechanical abstraction and reasoning</w:t>
      </w:r>
    </w:p>
    <w:p>
      <w:pPr>
        <w:pStyle w:val="ListNumber"/>
      </w:pPr>
      <w:r>
        <w:t>Candidate deductions, transformations, or hypotheses</w:t>
      </w:r>
    </w:p>
    <w:p>
      <w:pPr>
        <w:pStyle w:val="ListNumber"/>
      </w:pPr>
      <w:r>
        <w:t>Return through topology/evidence checking</w:t>
      </w:r>
    </w:p>
    <w:p>
      <w:pPr>
        <w:pStyle w:val="ListNumber"/>
      </w:pPr>
      <w:r>
        <w:t>Human/model/specialist review and another cycle where warranted</w:t>
      </w:r>
    </w:p>
    <w:p>
      <w:pPr>
        <w:pStyle w:val="Heading1"/>
      </w:pPr>
      <w:r>
        <w:t>3. Central integration hypothesis</w:t>
      </w:r>
    </w:p>
    <w:p>
      <w:r>
        <w:rPr>
          <w:b/>
        </w:rPr>
        <w:t>A composite architecture incorporating components targeted at empirically identified human-model blind spots may recover task-relevant structure that is systematically absent from conventional human-only, model-only, and ordinary human-model collaborative interpretations; a mechanical reasoning engine operating over that enriched representation may then derive abstractions that none of those baseline systems reliably surface.</w:t>
      </w:r>
    </w:p>
    <w:p>
      <w:pPr>
        <w:pStyle w:val="Heading1"/>
      </w:pPr>
      <w:r>
        <w:t>4. The negative space as an engineering target</w:t>
      </w:r>
    </w:p>
    <w:p>
      <w:r>
        <w:t>The key object is not merely what H or M sees, but the topology of what they do not see. Repeated double-blind runs can reveal recurrent gaps. Those gaps become specifications rather than vague limitations.</w:t>
      </w:r>
    </w:p>
    <w:p>
      <w:pPr>
        <w:pStyle w:val="ListBullet"/>
      </w:pPr>
      <w:r>
        <w:t>H-only region: investigate why M misses information reliably available to humans.</w:t>
      </w:r>
    </w:p>
    <w:p>
      <w:pPr>
        <w:pStyle w:val="ListBullet"/>
      </w:pPr>
      <w:r>
        <w:t>M-only region: investigate why H misses information reliably available to models.</w:t>
      </w:r>
    </w:p>
    <w:p>
      <w:pPr>
        <w:pStyle w:val="ListBullet"/>
      </w:pPr>
      <w:r>
        <w:t>Conflict region: preserve disagreement and identify missing discriminating evidence.</w:t>
      </w:r>
    </w:p>
    <w:p>
      <w:pPr>
        <w:pStyle w:val="ListBullet"/>
      </w:pPr>
      <w:r>
        <w:t>Shared blind spot G: identify relevant information absent from both H and M.</w:t>
      </w:r>
    </w:p>
    <w:p>
      <w:pPr>
        <w:pStyle w:val="ListBullet"/>
      </w:pPr>
      <w:r>
        <w:t>Joint residual R: identify information still absent after reciprocal cross-exposure.</w:t>
      </w:r>
    </w:p>
    <w:p>
      <w:pPr>
        <w:pStyle w:val="Heading1"/>
      </w:pPr>
      <w:r>
        <w:t>5. Gap-specialist components</w:t>
      </w:r>
    </w:p>
    <w:p>
      <w:r>
        <w:t>If a stable gap G is empirically demonstrated, a new component C can be designed specifically to address G. C need not be generally capable. It may be a specialised model, deterministic transform, multimodal sensor/representation, retrieval mechanism, memory system, causal tool, or other architecture.</w:t>
      </w:r>
    </w:p>
    <w:p>
      <w:r>
        <w:t>C must then be tested blind against the same stimuli. The topology should show whether C genuinely occupies previously empty information space or merely duplicates H or M.</w:t>
      </w:r>
    </w:p>
    <w:p>
      <w:pPr>
        <w:jc w:val="center"/>
      </w:pPr>
      <w:r>
        <w:rPr>
          <w:b/>
          <w:sz w:val="28"/>
        </w:rPr>
        <w:t>H ∪ M ∪ C &gt; H ∪ M</w:t>
      </w:r>
    </w:p>
    <w:p>
      <w:pPr>
        <w:pStyle w:val="Heading1"/>
      </w:pPr>
      <w:r>
        <w:t>6. Iterative cognitive coverage</w:t>
      </w:r>
    </w:p>
    <w:p>
      <w:r>
        <w:t>The process need not stop after one specialist. Once C is introduced, the mapper can examine H ↔ M ↔ C. New residual structures may appear. A later component D can target a newly demonstrated gap, followed by another mapping cycle. The long-term programme is therefore not necessarily one increasingly monolithic model, but iterative construction of cognitive coverage.</w:t>
      </w:r>
    </w:p>
    <w:p>
      <w:r>
        <w:t>The taxonomy must be earned by the data. The project should not assume in advance that humans own pragmatics, LLMs own documentary breadth, or any specialist owns a particular gap. Those roles are hypotheses until stable topology appears across participants, models, domains, and runs.</w:t>
      </w:r>
    </w:p>
    <w:p>
      <w:pPr>
        <w:pStyle w:val="Heading1"/>
      </w:pPr>
      <w:r>
        <w:t>7. Leviathan's role</w:t>
      </w:r>
    </w:p>
    <w:p>
      <w:r>
        <w:t>The cartography layer improves the representational substrate. Leviathan provides machinery for operating over that substrate: abstraction, transformation, relation discovery, recomposition, and iterative reasoning. A cartography output can therefore become structured input to Leviathan rather than merely a diagnostic visualization.</w:t>
      </w:r>
    </w:p>
    <w:p>
      <w:r>
        <w:t>Leviathan may also generate new candidate abstractions that are routed back into the cartography layer. If a candidate deduction occupies a poorly supported or disputed region, the system can request additional evidence or specialist processing rather than allowing the reasoning chain to silently harden around an unsupported premise.</w:t>
      </w:r>
    </w:p>
    <w:p>
      <w:pPr>
        <w:pStyle w:val="Heading1"/>
      </w:pPr>
      <w:r>
        <w:t>8. Closed-loop form</w:t>
      </w:r>
    </w:p>
    <w:p>
      <w:r>
        <w:t>Map → reason → test the reasoning against the map → locate residual uncertainty → gather or generate missing representation → remap → reason again.</w:t>
      </w:r>
    </w:p>
    <w:p>
      <w:r>
        <w:t>This creates a potentially self-extending research loop while retaining provenance and explicit uncertainty. The objective is not autonomous certainty; it is increasingly complete coverage coupled to increasingly capable abstraction.</w:t>
      </w:r>
    </w:p>
    <w:p>
      <w:pPr>
        <w:pStyle w:val="Heading1"/>
      </w:pPr>
      <w:r>
        <w:t>9. Baseline ladder for experiments</w:t>
      </w:r>
    </w:p>
    <w:p>
      <w:pPr>
        <w:pStyle w:val="ListBullet"/>
      </w:pPr>
      <w:r>
        <w:t>H: human interpretation/reasoning alone</w:t>
      </w:r>
    </w:p>
    <w:p>
      <w:pPr>
        <w:pStyle w:val="ListBullet"/>
      </w:pPr>
      <w:r>
        <w:t>M: language model alone</w:t>
      </w:r>
    </w:p>
    <w:p>
      <w:pPr>
        <w:pStyle w:val="ListBullet"/>
      </w:pPr>
      <w:r>
        <w:t>H+M: ordinary conversational collaboration</w:t>
      </w:r>
    </w:p>
    <w:p>
      <w:pPr>
        <w:pStyle w:val="ListBullet"/>
      </w:pPr>
      <w:r>
        <w:t>H+M+Ω: double-blind interpretations plus deterministic topology overlay</w:t>
      </w:r>
    </w:p>
    <w:p>
      <w:pPr>
        <w:pStyle w:val="ListBullet"/>
      </w:pPr>
      <w:r>
        <w:t>H+M+Ω+C: topology plus one or more empirically justified gap-specialist components</w:t>
      </w:r>
    </w:p>
    <w:p>
      <w:pPr>
        <w:pStyle w:val="ListBullet"/>
      </w:pPr>
      <w:r>
        <w:t>H+M+Ω+C+L: enriched representation passed through Leviathan reasoning machinery</w:t>
      </w:r>
    </w:p>
    <w:p>
      <w:r>
        <w:t>The final architecture should not be presumed superior. Each stage must demonstrate what additional relevant information or reasoning capability it contributes, and whether gains survive across tasks and participants.</w:t>
      </w:r>
    </w:p>
    <w:p>
      <w:pPr>
        <w:pStyle w:val="Heading1"/>
      </w:pPr>
      <w:r>
        <w:t>10. What success would actually mean</w:t>
      </w:r>
    </w:p>
    <w:p>
      <w:r>
        <w:t>Success is not merely a higher aggregate benchmark score. The stronger result would be interpretable evidence that the architecture makes previously absent task-relevant structure representable, and that Leviathan can exploit that added structure to surface justified relationships, hypotheses, or abstractions that baseline human, model, and conventional human-model teams systematically miss.</w:t>
      </w:r>
    </w:p>
    <w:p>
      <w:pPr>
        <w:pStyle w:val="Heading1"/>
      </w:pPr>
      <w:r>
        <w:t>11. Failure modes to guard against</w:t>
      </w:r>
    </w:p>
    <w:p>
      <w:pPr>
        <w:pStyle w:val="ListBullet"/>
      </w:pPr>
      <w:r>
        <w:t>Mistaking novelty for correctness.</w:t>
      </w:r>
    </w:p>
    <w:p>
      <w:pPr>
        <w:pStyle w:val="ListBullet"/>
      </w:pPr>
      <w:r>
        <w:t>Treating unique information as useful merely because only one component produced it.</w:t>
      </w:r>
    </w:p>
    <w:p>
      <w:pPr>
        <w:pStyle w:val="ListBullet"/>
      </w:pPr>
      <w:r>
        <w:t>Letting a free-form judge model erase provenance or redefine the topology post hoc.</w:t>
      </w:r>
    </w:p>
    <w:p>
      <w:pPr>
        <w:pStyle w:val="ListBullet"/>
      </w:pPr>
      <w:r>
        <w:t>Designing specialist components around assumed gaps rather than measured recurrent gaps.</w:t>
      </w:r>
    </w:p>
    <w:p>
      <w:pPr>
        <w:pStyle w:val="ListBullet"/>
      </w:pPr>
      <w:r>
        <w:t>Benchmark leakage, anchoring, or cross-contamination during the blind phase.</w:t>
      </w:r>
    </w:p>
    <w:p>
      <w:pPr>
        <w:pStyle w:val="ListBullet"/>
      </w:pPr>
      <w:r>
        <w:t>Confusing more verbose representation with more complete representation.</w:t>
      </w:r>
    </w:p>
    <w:p>
      <w:pPr>
        <w:pStyle w:val="ListBullet"/>
      </w:pPr>
      <w:r>
        <w:t>Allowing Leviathan reasoning depth to amplify an unsupported premise.</w:t>
      </w:r>
    </w:p>
    <w:p>
      <w:pPr>
        <w:pStyle w:val="ListBullet"/>
      </w:pPr>
      <w:r>
        <w:t>Collapsing uncertainty into a single confidence score when sources disagree for different reasons.</w:t>
      </w:r>
    </w:p>
    <w:p>
      <w:pPr>
        <w:pStyle w:val="Heading1"/>
      </w:pPr>
      <w:r>
        <w:t>12. Conceptual division of labour</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Function</w:t>
            </w:r>
          </w:p>
        </w:tc>
      </w:tr>
      <w:tr>
        <w:tc>
          <w:tcPr>
            <w:tcW w:type="dxa" w:w="4968"/>
          </w:tcPr>
          <w:p>
            <w:r>
              <w:t>Epistemic cartography</w:t>
            </w:r>
          </w:p>
        </w:tc>
        <w:tc>
          <w:tcPr>
            <w:tcW w:type="dxa" w:w="4968"/>
          </w:tcPr>
          <w:p>
            <w:r>
              <w:t>Construct a better map of the information space.</w:t>
            </w:r>
          </w:p>
        </w:tc>
      </w:tr>
      <w:tr>
        <w:tc>
          <w:tcPr>
            <w:tcW w:type="dxa" w:w="4968"/>
          </w:tcPr>
          <w:p>
            <w:r>
              <w:t>Gap specialists</w:t>
            </w:r>
          </w:p>
        </w:tc>
        <w:tc>
          <w:tcPr>
            <w:tcW w:type="dxa" w:w="4968"/>
          </w:tcPr>
          <w:p>
            <w:r>
              <w:t>Occupy empirically demonstrated holes in that map.</w:t>
            </w:r>
          </w:p>
        </w:tc>
      </w:tr>
      <w:tr>
        <w:tc>
          <w:tcPr>
            <w:tcW w:type="dxa" w:w="4968"/>
          </w:tcPr>
          <w:p>
            <w:r>
              <w:t>Leviathan</w:t>
            </w:r>
          </w:p>
        </w:tc>
        <w:tc>
          <w:tcPr>
            <w:tcW w:type="dxa" w:w="4968"/>
          </w:tcPr>
          <w:p>
            <w:r>
              <w:t>Traverse, transform, abstract, and reason across the richer map.</w:t>
            </w:r>
          </w:p>
        </w:tc>
      </w:tr>
      <w:tr>
        <w:tc>
          <w:tcPr>
            <w:tcW w:type="dxa" w:w="4968"/>
          </w:tcPr>
          <w:p>
            <w:r>
              <w:t>Deterministic provenance layer</w:t>
            </w:r>
          </w:p>
        </w:tc>
        <w:tc>
          <w:tcPr>
            <w:tcW w:type="dxa" w:w="4968"/>
          </w:tcPr>
          <w:p>
            <w:r>
              <w:t>Keep contributions, conflicts, uncertainty, and transformations inspectable.</w:t>
            </w:r>
          </w:p>
        </w:tc>
      </w:tr>
      <w:tr>
        <w:tc>
          <w:tcPr>
            <w:tcW w:type="dxa" w:w="4968"/>
          </w:tcPr>
          <w:p>
            <w:r>
              <w:t>Human oversight</w:t>
            </w:r>
          </w:p>
        </w:tc>
        <w:tc>
          <w:tcPr>
            <w:tcW w:type="dxa" w:w="4968"/>
          </w:tcPr>
          <w:p>
            <w:r>
              <w:t>Supply lived/local grounding, goals, judgment, challenge, and consequential authority.</w:t>
            </w:r>
          </w:p>
        </w:tc>
      </w:tr>
    </w:tbl>
    <w:p>
      <w:pPr>
        <w:pStyle w:val="Heading1"/>
      </w:pPr>
      <w:r>
        <w:t>13. Long-range research question</w:t>
      </w:r>
    </w:p>
    <w:p>
      <w:r>
        <w:rPr>
          <w:b/>
        </w:rPr>
        <w:t>Can a provenance-preserving architecture progressively map and engineer around the blind spots of heterogeneous cognitive systems, then apply mechanical abstraction over the resulting composite representation to discover justified structure that no constituent system reliably exposes alone?</w:t>
      </w:r>
    </w:p>
    <w:p>
      <w:pPr>
        <w:pStyle w:val="Heading1"/>
      </w:pPr>
      <w:r>
        <w:t>14. Relationship to the preceding research seed</w:t>
      </w:r>
    </w:p>
    <w:p>
      <w:r>
        <w:t>The preceding Dual-Engine Epistemic Topology seed defines the double-blind mapping machine. This document captures the next conceptual jump: treating recurrent topology gaps as engineering targets and coupling the resulting richer representation to Leviathan's mechanical reasoning programme.</w:t>
      </w:r>
    </w:p>
    <w:p>
      <w:pPr>
        <w:pStyle w:val="Heading1"/>
      </w:pPr>
      <w:r>
        <w:t>15. Naming implication</w:t>
      </w:r>
    </w:p>
    <w:p>
      <w:r>
        <w:t>The cartography system should receive its own project identity rather than becoming 'Leviathan 2.0'. Leviathan is the reasoning machinery; the new project is the mapping and gap-discovery machinery. Their eventual integration can have a separate umbrella or combined-system name if the research earns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