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405eu6470t8" w:id="0"/>
      <w:bookmarkEnd w:id="0"/>
      <w:r w:rsidDel="00000000" w:rsidR="00000000" w:rsidRPr="00000000">
        <w:rPr>
          <w:b w:val="1"/>
          <w:color w:val="000000"/>
          <w:sz w:val="26"/>
          <w:szCs w:val="26"/>
          <w:rtl w:val="0"/>
        </w:rPr>
        <w:t xml:space="preserve">Institut für Strukturelle Integrität e. V. – Satzung</w:t>
      </w:r>
    </w:p>
    <w:p w:rsidR="00000000" w:rsidDel="00000000" w:rsidP="00000000" w:rsidRDefault="00000000" w:rsidRPr="00000000" w14:paraId="00000002">
      <w:pPr>
        <w:spacing w:after="240" w:before="240" w:lineRule="auto"/>
        <w:rPr/>
      </w:pPr>
      <w:r w:rsidDel="00000000" w:rsidR="00000000" w:rsidRPr="00000000">
        <w:rPr>
          <w:i w:val="1"/>
          <w:rtl w:val="0"/>
        </w:rPr>
        <w:t xml:space="preserve">‘e.V. frame – version ev-forma-03-03-2025-00</w:t>
      </w:r>
      <w:r w:rsidDel="00000000" w:rsidR="00000000" w:rsidRPr="00000000">
        <w:rPr>
          <w:rtl w:val="0"/>
        </w:rPr>
        <w:t xml:space="preserve"> (supersedes: -)</w:t>
      </w:r>
    </w:p>
    <w:p w:rsidR="00000000" w:rsidDel="00000000" w:rsidP="00000000" w:rsidRDefault="00000000" w:rsidRPr="00000000" w14:paraId="00000003">
      <w:pPr>
        <w:spacing w:after="240" w:before="240" w:lineRule="auto"/>
        <w:rPr/>
      </w:pPr>
      <w:r w:rsidDel="00000000" w:rsidR="00000000" w:rsidRPr="00000000">
        <w:rPr>
          <w:sz w:val="20"/>
          <w:szCs w:val="20"/>
          <w:rtl w:val="0"/>
        </w:rPr>
        <w:t xml:space="preserve">Das Institut ist leicht irritiert.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i w:val="1"/>
          <w:color w:val="000000"/>
          <w:sz w:val="26"/>
          <w:szCs w:val="26"/>
        </w:rPr>
      </w:pPr>
      <w:bookmarkStart w:colFirst="0" w:colLast="0" w:name="_1pd6u39up34c" w:id="1"/>
      <w:bookmarkEnd w:id="1"/>
      <w:r w:rsidDel="00000000" w:rsidR="00000000" w:rsidRPr="00000000">
        <w:rPr>
          <w:b w:val="1"/>
          <w:i w:val="1"/>
          <w:color w:val="000000"/>
          <w:sz w:val="26"/>
          <w:szCs w:val="26"/>
          <w:rtl w:val="0"/>
        </w:rPr>
        <w:t xml:space="preserve">Präambel</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Dieses Institut dient keiner Person, keinem Markt, keinem Selbstbild.</w:t>
        <w:br w:type="textWrapping"/>
        <w:br w:type="textWrapping"/>
        <w:t xml:space="preserve">Es besteht, um Strukturen hervorzubringen, die tragen, wenn sie gebraucht werden,</w:t>
        <w:br w:type="textWrapping"/>
        <w:t xml:space="preserve">und weichen, wenn ihre Wirkung erfüllt ist.</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Sein Auftrag ist, Bedingungen zu schaffen, unter denen menschliche Fähigkeiten wirken können</w:t>
        <w:br w:type="textWrapping"/>
        <w:t xml:space="preserve">– und Formen, die gemeinsamen Fortschritt ermöglichen.</w:t>
        <w:br w:type="textWrapping"/>
        <w:br w:type="textWrapping"/>
        <w:t xml:space="preserve">Gehandelt wird auf Basis überprüfbarer Tatsachen und offener Dokumentation.</w:t>
      </w:r>
    </w:p>
    <w:p w:rsidR="00000000" w:rsidDel="00000000" w:rsidP="00000000" w:rsidRDefault="00000000" w:rsidRPr="00000000" w14:paraId="00000007">
      <w:pPr>
        <w:spacing w:after="100" w:before="240" w:lineRule="auto"/>
        <w:rPr>
          <w:b w:val="1"/>
        </w:rPr>
      </w:pPr>
      <w:r w:rsidDel="00000000" w:rsidR="00000000" w:rsidRPr="00000000">
        <w:rPr>
          <w:sz w:val="20"/>
          <w:szCs w:val="20"/>
          <w:rtl w:val="0"/>
        </w:rPr>
        <w:t xml:space="preserve">(</w:t>
      </w:r>
      <w:r w:rsidDel="00000000" w:rsidR="00000000" w:rsidRPr="00000000">
        <w:rPr>
          <w:sz w:val="20"/>
          <w:szCs w:val="20"/>
          <w:rtl w:val="0"/>
        </w:rPr>
        <w:t xml:space="preserve">Gesetzliche Verfahren bleiben unberührt. Verwendete Begriffe werden im Anhang definiert.)</w:t>
      </w:r>
      <w:r w:rsidDel="00000000" w:rsidR="00000000" w:rsidRPr="00000000">
        <w:rPr>
          <w:rtl w:val="0"/>
        </w:rPr>
      </w:r>
    </w:p>
    <w:p w:rsidR="00000000" w:rsidDel="00000000" w:rsidP="00000000" w:rsidRDefault="00000000" w:rsidRPr="00000000" w14:paraId="00000008">
      <w:pPr>
        <w:spacing w:after="100" w:before="400" w:lineRule="auto"/>
        <w:rPr>
          <w:b w:val="1"/>
        </w:rPr>
      </w:pPr>
      <w:r w:rsidDel="00000000" w:rsidR="00000000" w:rsidRPr="00000000">
        <w:rPr>
          <w:b w:val="1"/>
          <w:rtl w:val="0"/>
        </w:rPr>
        <w:t xml:space="preserve">Hinweis zur Unabhängigkeit</w:t>
      </w:r>
    </w:p>
    <w:p w:rsidR="00000000" w:rsidDel="00000000" w:rsidP="00000000" w:rsidRDefault="00000000" w:rsidRPr="00000000" w14:paraId="00000009">
      <w:pPr>
        <w:spacing w:after="240" w:before="0" w:lineRule="auto"/>
        <w:rPr/>
      </w:pPr>
      <w:r w:rsidDel="00000000" w:rsidR="00000000" w:rsidRPr="00000000">
        <w:rPr>
          <w:rtl w:val="0"/>
        </w:rPr>
        <w:t xml:space="preserve">Das Institut ist parteipolitisch, religiös und weltanschaulich neutral.</w:t>
      </w:r>
    </w:p>
    <w:p w:rsidR="00000000" w:rsidDel="00000000" w:rsidP="00000000" w:rsidRDefault="00000000" w:rsidRPr="00000000" w14:paraId="0000000A">
      <w:pPr>
        <w:spacing w:after="240" w:before="0" w:lineRule="auto"/>
        <w:rPr>
          <w:b w:val="1"/>
        </w:rPr>
      </w:pPr>
      <w:r w:rsidDel="00000000" w:rsidR="00000000" w:rsidRPr="00000000">
        <w:rPr>
          <w:rtl w:val="0"/>
        </w:rPr>
        <w:t xml:space="preserve">Es lehnt jede Form von Extremismus, Menschenfeindlichkeit oder</w:t>
        <w:br w:type="textWrapping"/>
        <w:t xml:space="preserve">ideologisch motivierter Vereinnahmung ab.</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x9ofhho837m" w:id="2"/>
      <w:bookmarkEnd w:id="2"/>
      <w:r w:rsidDel="00000000" w:rsidR="00000000" w:rsidRPr="00000000">
        <w:rPr>
          <w:b w:val="1"/>
          <w:color w:val="000000"/>
          <w:sz w:val="26"/>
          <w:szCs w:val="26"/>
          <w:rtl w:val="0"/>
        </w:rPr>
        <w:t xml:space="preserve">§ 1 Name, Sitz, Geschäftsjahr</w:t>
      </w:r>
    </w:p>
    <w:p w:rsidR="00000000" w:rsidDel="00000000" w:rsidP="00000000" w:rsidRDefault="00000000" w:rsidRPr="00000000" w14:paraId="0000000D">
      <w:pPr>
        <w:numPr>
          <w:ilvl w:val="0"/>
          <w:numId w:val="2"/>
        </w:numPr>
        <w:spacing w:after="100" w:before="240" w:lineRule="auto"/>
        <w:ind w:left="450" w:hanging="360"/>
        <w:rPr>
          <w:u w:val="none"/>
        </w:rPr>
      </w:pPr>
      <w:r w:rsidDel="00000000" w:rsidR="00000000" w:rsidRPr="00000000">
        <w:rPr>
          <w:rtl w:val="0"/>
        </w:rPr>
        <w:t xml:space="preserve">Der Verein führt den Namen „Institut für Strukturelle Integrität e. V.“</w:t>
      </w:r>
    </w:p>
    <w:p w:rsidR="00000000" w:rsidDel="00000000" w:rsidP="00000000" w:rsidRDefault="00000000" w:rsidRPr="00000000" w14:paraId="0000000E">
      <w:pPr>
        <w:numPr>
          <w:ilvl w:val="0"/>
          <w:numId w:val="2"/>
        </w:numPr>
        <w:spacing w:after="100" w:before="240" w:lineRule="auto"/>
        <w:ind w:left="450" w:hanging="360"/>
        <w:rPr>
          <w:u w:val="none"/>
        </w:rPr>
      </w:pPr>
      <w:r w:rsidDel="00000000" w:rsidR="00000000" w:rsidRPr="00000000">
        <w:rPr>
          <w:rtl w:val="0"/>
        </w:rPr>
        <w:t xml:space="preserve">Sitz ist Tübingen.</w:t>
      </w:r>
      <w:r w:rsidDel="00000000" w:rsidR="00000000" w:rsidRPr="00000000">
        <w:rPr>
          <w:rtl w:val="0"/>
        </w:rPr>
      </w:r>
    </w:p>
    <w:p w:rsidR="00000000" w:rsidDel="00000000" w:rsidP="00000000" w:rsidRDefault="00000000" w:rsidRPr="00000000" w14:paraId="0000000F">
      <w:pPr>
        <w:numPr>
          <w:ilvl w:val="0"/>
          <w:numId w:val="2"/>
        </w:numPr>
        <w:spacing w:after="100" w:before="240" w:lineRule="auto"/>
        <w:ind w:left="450" w:hanging="360"/>
        <w:rPr>
          <w:u w:val="none"/>
        </w:rPr>
      </w:pPr>
      <w:r w:rsidDel="00000000" w:rsidR="00000000" w:rsidRPr="00000000">
        <w:rPr>
          <w:rtl w:val="0"/>
        </w:rPr>
        <w:t xml:space="preserve">Geschäftsjahr ist das Kalenderjahr.</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b1zll16tk8t" w:id="3"/>
      <w:bookmarkEnd w:id="3"/>
      <w:r w:rsidDel="00000000" w:rsidR="00000000" w:rsidRPr="00000000">
        <w:rPr>
          <w:b w:val="1"/>
          <w:color w:val="000000"/>
          <w:sz w:val="26"/>
          <w:szCs w:val="26"/>
          <w:rtl w:val="0"/>
        </w:rPr>
        <w:t xml:space="preserve">§ 2 Zweck</w:t>
      </w:r>
    </w:p>
    <w:p w:rsidR="00000000" w:rsidDel="00000000" w:rsidP="00000000" w:rsidRDefault="00000000" w:rsidRPr="00000000" w14:paraId="00000012">
      <w:pPr>
        <w:numPr>
          <w:ilvl w:val="0"/>
          <w:numId w:val="1"/>
        </w:numPr>
        <w:spacing w:after="0" w:afterAutospacing="0" w:before="240" w:lineRule="auto"/>
        <w:ind w:left="450" w:hanging="360"/>
        <w:rPr>
          <w:u w:val="none"/>
        </w:rPr>
      </w:pPr>
      <w:r w:rsidDel="00000000" w:rsidR="00000000" w:rsidRPr="00000000">
        <w:rPr>
          <w:rtl w:val="0"/>
        </w:rPr>
        <w:t xml:space="preserve">Zweck des Vereins ist die Entwicklung, Anwendung und Weitergabe strukturwirksamer Methoden und Systeme, die nachweislich die gesellschaftliche Handlungsfähigkeit verbessern.</w:t>
      </w:r>
    </w:p>
    <w:p w:rsidR="00000000" w:rsidDel="00000000" w:rsidP="00000000" w:rsidRDefault="00000000" w:rsidRPr="00000000" w14:paraId="00000013">
      <w:pPr>
        <w:keepNext w:val="1"/>
        <w:numPr>
          <w:ilvl w:val="0"/>
          <w:numId w:val="1"/>
        </w:numPr>
        <w:spacing w:after="0" w:before="0" w:line="360" w:lineRule="auto"/>
        <w:ind w:left="450" w:hanging="360"/>
        <w:rPr>
          <w:u w:val="none"/>
        </w:rPr>
      </w:pPr>
      <w:r w:rsidDel="00000000" w:rsidR="00000000" w:rsidRPr="00000000">
        <w:rPr>
          <w:rtl w:val="0"/>
        </w:rPr>
        <w:t xml:space="preserve">Umgesetzt wird dies in folgenden Bereichen:</w:t>
      </w:r>
    </w:p>
    <w:p w:rsidR="00000000" w:rsidDel="00000000" w:rsidP="00000000" w:rsidRDefault="00000000" w:rsidRPr="00000000" w14:paraId="00000014">
      <w:pPr>
        <w:numPr>
          <w:ilvl w:val="1"/>
          <w:numId w:val="1"/>
        </w:numPr>
        <w:spacing w:after="100" w:before="0" w:line="276" w:lineRule="auto"/>
        <w:ind w:left="630" w:hanging="360"/>
        <w:rPr>
          <w:u w:val="none"/>
        </w:rPr>
      </w:pPr>
      <w:r w:rsidDel="00000000" w:rsidR="00000000" w:rsidRPr="00000000">
        <w:rPr>
          <w:rtl w:val="0"/>
        </w:rPr>
        <w:t xml:space="preserve">die Erprobung und Bereitstellung frei zugänglicher Organisations- und Entscheidungsstrukturen;</w:t>
      </w:r>
    </w:p>
    <w:p w:rsidR="00000000" w:rsidDel="00000000" w:rsidP="00000000" w:rsidRDefault="00000000" w:rsidRPr="00000000" w14:paraId="00000015">
      <w:pPr>
        <w:numPr>
          <w:ilvl w:val="1"/>
          <w:numId w:val="1"/>
        </w:numPr>
        <w:spacing w:after="100" w:before="0" w:line="276" w:lineRule="auto"/>
        <w:ind w:left="630" w:hanging="360"/>
        <w:rPr>
          <w:u w:val="none"/>
        </w:rPr>
      </w:pPr>
      <w:r w:rsidDel="00000000" w:rsidR="00000000" w:rsidRPr="00000000">
        <w:rPr>
          <w:rtl w:val="0"/>
        </w:rPr>
        <w:t xml:space="preserve">die Entwicklung gemeinwohlorientierter Bildungs-, Versorgungs- und Infrastrukturmodelle;</w:t>
      </w:r>
    </w:p>
    <w:p w:rsidR="00000000" w:rsidDel="00000000" w:rsidP="00000000" w:rsidRDefault="00000000" w:rsidRPr="00000000" w14:paraId="00000016">
      <w:pPr>
        <w:numPr>
          <w:ilvl w:val="1"/>
          <w:numId w:val="1"/>
        </w:numPr>
        <w:spacing w:after="100" w:before="0" w:line="276" w:lineRule="auto"/>
        <w:ind w:left="630" w:hanging="360"/>
        <w:rPr>
          <w:u w:val="none"/>
        </w:rPr>
      </w:pPr>
      <w:r w:rsidDel="00000000" w:rsidR="00000000" w:rsidRPr="00000000">
        <w:rPr>
          <w:rtl w:val="0"/>
        </w:rPr>
        <w:t xml:space="preserve">die Erforschung und Nutzung neuer Technologien mit struktureller Wirkung – z. B. in Bereichen wie erneuerbare Versorgung, adaptive Techniknutzung oder robuste Systemlösungen;</w:t>
      </w:r>
    </w:p>
    <w:p w:rsidR="00000000" w:rsidDel="00000000" w:rsidP="00000000" w:rsidRDefault="00000000" w:rsidRPr="00000000" w14:paraId="00000017">
      <w:pPr>
        <w:numPr>
          <w:ilvl w:val="1"/>
          <w:numId w:val="1"/>
        </w:numPr>
        <w:spacing w:after="100" w:before="0" w:line="276" w:lineRule="auto"/>
        <w:ind w:left="630" w:hanging="360"/>
        <w:rPr>
          <w:u w:val="none"/>
        </w:rPr>
      </w:pPr>
      <w:r w:rsidDel="00000000" w:rsidR="00000000" w:rsidRPr="00000000">
        <w:rPr>
          <w:rtl w:val="0"/>
        </w:rPr>
        <w:t xml:space="preserve">die Zusammenarbeit mit Zivilgesellschaft, Wissenschaft, öffentlichen Stellen und gemeinnützigen Trägern.</w:t>
      </w:r>
    </w:p>
    <w:p w:rsidR="00000000" w:rsidDel="00000000" w:rsidP="00000000" w:rsidRDefault="00000000" w:rsidRPr="00000000" w14:paraId="00000018">
      <w:pPr>
        <w:numPr>
          <w:ilvl w:val="0"/>
          <w:numId w:val="1"/>
        </w:numPr>
        <w:spacing w:after="100" w:before="0" w:line="276" w:lineRule="auto"/>
        <w:ind w:left="450" w:hanging="360"/>
        <w:rPr>
          <w:u w:val="none"/>
        </w:rPr>
      </w:pPr>
      <w:r w:rsidDel="00000000" w:rsidR="00000000" w:rsidRPr="00000000">
        <w:rPr>
          <w:rtl w:val="0"/>
        </w:rPr>
        <w:t xml:space="preserve">Der Verein verfolgt ausschließlich und unmittelbar gemeinnützige Zwecke im Sinne der §§ 51–68 AO.</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k02buzmctjkj" w:id="4"/>
      <w:bookmarkEnd w:id="4"/>
      <w:r w:rsidDel="00000000" w:rsidR="00000000" w:rsidRPr="00000000">
        <w:rPr>
          <w:b w:val="1"/>
          <w:color w:val="000000"/>
          <w:sz w:val="26"/>
          <w:szCs w:val="26"/>
          <w:rtl w:val="0"/>
        </w:rPr>
        <w:t xml:space="preserve">§ 3 Mitgliedschaft</w:t>
      </w:r>
    </w:p>
    <w:p w:rsidR="00000000" w:rsidDel="00000000" w:rsidP="00000000" w:rsidRDefault="00000000" w:rsidRPr="00000000" w14:paraId="0000001B">
      <w:pPr>
        <w:numPr>
          <w:ilvl w:val="0"/>
          <w:numId w:val="11"/>
        </w:numPr>
        <w:spacing w:after="100" w:before="240" w:lineRule="auto"/>
        <w:ind w:left="450" w:hanging="360"/>
        <w:rPr>
          <w:u w:val="none"/>
        </w:rPr>
      </w:pPr>
      <w:r w:rsidDel="00000000" w:rsidR="00000000" w:rsidRPr="00000000">
        <w:rPr>
          <w:rtl w:val="0"/>
        </w:rPr>
        <w:t xml:space="preserve">Mitglied </w:t>
      </w:r>
      <w:r w:rsidDel="00000000" w:rsidR="00000000" w:rsidRPr="00000000">
        <w:rPr>
          <w:rtl w:val="0"/>
        </w:rPr>
        <w:t xml:space="preserve">kann werden,</w:t>
      </w:r>
      <w:r w:rsidDel="00000000" w:rsidR="00000000" w:rsidRPr="00000000">
        <w:rPr>
          <w:rtl w:val="0"/>
        </w:rPr>
        <w:t xml:space="preserve"> wer sich im Sinne des Vereinszwecks wirksam einbringt. </w:t>
        <w:br w:type="textWrapping"/>
        <w:t xml:space="preserve">Als Nachweis genügt ein nachvollziehbares, datiertes Protokoll – z. B. in Schriftform, digitaler Textform oder als transkribierter Auszug aus Videoaufzeichnung.</w:t>
      </w:r>
    </w:p>
    <w:p w:rsidR="00000000" w:rsidDel="00000000" w:rsidP="00000000" w:rsidRDefault="00000000" w:rsidRPr="00000000" w14:paraId="0000001C">
      <w:pPr>
        <w:numPr>
          <w:ilvl w:val="0"/>
          <w:numId w:val="11"/>
        </w:numPr>
        <w:spacing w:after="100" w:before="240" w:lineRule="auto"/>
        <w:ind w:left="450" w:hanging="360"/>
        <w:rPr>
          <w:u w:val="none"/>
        </w:rPr>
      </w:pPr>
      <w:r w:rsidDel="00000000" w:rsidR="00000000" w:rsidRPr="00000000">
        <w:rPr>
          <w:rtl w:val="0"/>
        </w:rPr>
        <w:t xml:space="preserve">Über die Aufnahme entscheidet der Vorstand. Ein Anspruch besteht nicht.</w:t>
      </w:r>
    </w:p>
    <w:p w:rsidR="00000000" w:rsidDel="00000000" w:rsidP="00000000" w:rsidRDefault="00000000" w:rsidRPr="00000000" w14:paraId="0000001D">
      <w:pPr>
        <w:numPr>
          <w:ilvl w:val="0"/>
          <w:numId w:val="11"/>
        </w:numPr>
        <w:spacing w:after="100" w:before="240" w:lineRule="auto"/>
        <w:ind w:left="450" w:hanging="360"/>
        <w:rPr>
          <w:u w:val="none"/>
        </w:rPr>
      </w:pPr>
      <w:r w:rsidDel="00000000" w:rsidR="00000000" w:rsidRPr="00000000">
        <w:rPr>
          <w:rtl w:val="0"/>
        </w:rPr>
        <w:t xml:space="preserve">Die Mitgliedschaft endet nur durch Austritt oder Ausschluss.Das Ruhen oder Wegfallen einer Rolle berührt die Mitgliedschaft nicht.</w:t>
      </w:r>
    </w:p>
    <w:p w:rsidR="00000000" w:rsidDel="00000000" w:rsidP="00000000" w:rsidRDefault="00000000" w:rsidRPr="00000000" w14:paraId="0000001E">
      <w:pPr>
        <w:numPr>
          <w:ilvl w:val="0"/>
          <w:numId w:val="11"/>
        </w:numPr>
        <w:spacing w:after="100" w:before="240" w:lineRule="auto"/>
        <w:ind w:left="450" w:hanging="360"/>
        <w:rPr>
          <w:u w:val="none"/>
        </w:rPr>
      </w:pPr>
      <w:r w:rsidDel="00000000" w:rsidR="00000000" w:rsidRPr="00000000">
        <w:rPr>
          <w:rtl w:val="0"/>
        </w:rPr>
        <w:t xml:space="preserve">Strukturell einbezogen ist, wer durch Handlung, Beobachtung oder Resonanz wirksam Teil der Struktur wird – unabhängig von formaler Mitgliedschaft.</w:t>
      </w:r>
    </w:p>
    <w:p w:rsidR="00000000" w:rsidDel="00000000" w:rsidP="00000000" w:rsidRDefault="00000000" w:rsidRPr="00000000" w14:paraId="0000001F">
      <w:pPr>
        <w:numPr>
          <w:ilvl w:val="0"/>
          <w:numId w:val="11"/>
        </w:numPr>
        <w:spacing w:after="100" w:before="240" w:lineRule="auto"/>
        <w:ind w:left="450" w:hanging="360"/>
        <w:rPr>
          <w:u w:val="none"/>
        </w:rPr>
      </w:pPr>
      <w:r w:rsidDel="00000000" w:rsidR="00000000" w:rsidRPr="00000000">
        <w:rPr>
          <w:rtl w:val="0"/>
        </w:rPr>
        <w:t xml:space="preserve">Beiträge werden nicht erhoben.</w:t>
      </w:r>
    </w:p>
    <w:p w:rsidR="00000000" w:rsidDel="00000000" w:rsidP="00000000" w:rsidRDefault="00000000" w:rsidRPr="00000000" w14:paraId="00000020">
      <w:pPr>
        <w:numPr>
          <w:ilvl w:val="0"/>
          <w:numId w:val="11"/>
        </w:numPr>
        <w:spacing w:after="100" w:before="240" w:lineRule="auto"/>
        <w:ind w:left="450" w:hanging="360"/>
        <w:rPr>
          <w:u w:val="none"/>
        </w:rPr>
      </w:pPr>
      <w:r w:rsidDel="00000000" w:rsidR="00000000" w:rsidRPr="00000000">
        <w:rPr>
          <w:rtl w:val="0"/>
        </w:rPr>
        <w:t xml:space="preserve">Der Vorstand führt ein einfaches Mitgliederverzeichnis mit Name, Eintrittsdatum und Kontaktangabe.</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4earh9li1umo" w:id="5"/>
      <w:bookmarkEnd w:id="5"/>
      <w:r w:rsidDel="00000000" w:rsidR="00000000" w:rsidRPr="00000000">
        <w:rPr>
          <w:b w:val="1"/>
          <w:color w:val="000000"/>
          <w:sz w:val="26"/>
          <w:szCs w:val="26"/>
          <w:rtl w:val="0"/>
        </w:rPr>
        <w:t xml:space="preserve">§ 3a Interne Strukturlogik und externe Rechtswirkung</w:t>
      </w:r>
    </w:p>
    <w:p w:rsidR="00000000" w:rsidDel="00000000" w:rsidP="00000000" w:rsidRDefault="00000000" w:rsidRPr="00000000" w14:paraId="00000023">
      <w:pPr>
        <w:numPr>
          <w:ilvl w:val="0"/>
          <w:numId w:val="3"/>
        </w:numPr>
        <w:spacing w:after="100" w:before="240" w:lineRule="auto"/>
        <w:ind w:left="450" w:hanging="360"/>
        <w:rPr>
          <w:u w:val="none"/>
        </w:rPr>
      </w:pPr>
      <w:r w:rsidDel="00000000" w:rsidR="00000000" w:rsidRPr="00000000">
        <w:rPr>
          <w:rtl w:val="0"/>
        </w:rPr>
        <w:t xml:space="preserve">Intern entstehen Rollen ausschließlich durch Handlung.</w:t>
        <w:br w:type="textWrapping"/>
        <w:t xml:space="preserve">Extern gelten die gesetzlichen Verfahren.</w:t>
      </w:r>
    </w:p>
    <w:p w:rsidR="00000000" w:rsidDel="00000000" w:rsidP="00000000" w:rsidRDefault="00000000" w:rsidRPr="00000000" w14:paraId="00000024">
      <w:pPr>
        <w:numPr>
          <w:ilvl w:val="0"/>
          <w:numId w:val="3"/>
        </w:numPr>
        <w:spacing w:after="100" w:before="240" w:lineRule="auto"/>
        <w:ind w:left="450" w:hanging="360"/>
        <w:rPr>
          <w:u w:val="none"/>
        </w:rPr>
      </w:pPr>
      <w:r w:rsidDel="00000000" w:rsidR="00000000" w:rsidRPr="00000000">
        <w:rPr>
          <w:rtl w:val="0"/>
        </w:rPr>
        <w:t xml:space="preserve">Verträge, Kooperationen und rechtliche Erklärungen erfolgen nur durch den Vorstand oder von ihm Bevollmächtigten.</w:t>
      </w:r>
    </w:p>
    <w:p w:rsidR="00000000" w:rsidDel="00000000" w:rsidP="00000000" w:rsidRDefault="00000000" w:rsidRPr="00000000" w14:paraId="00000025">
      <w:pPr>
        <w:numPr>
          <w:ilvl w:val="0"/>
          <w:numId w:val="3"/>
        </w:numPr>
        <w:spacing w:after="100" w:before="240" w:lineRule="auto"/>
        <w:ind w:left="450" w:hanging="360"/>
        <w:rPr>
          <w:u w:val="none"/>
        </w:rPr>
      </w:pPr>
      <w:r w:rsidDel="00000000" w:rsidR="00000000" w:rsidRPr="00000000">
        <w:rPr>
          <w:rtl w:val="0"/>
        </w:rPr>
        <w:t xml:space="preserve">Formen, Wirkung, Vertrauen und ähnliche Begriffe beschreiben interne Funktionsprinzipien ohne unmittelbare Außenwirkung.</w:t>
      </w:r>
    </w:p>
    <w:p w:rsidR="00000000" w:rsidDel="00000000" w:rsidP="00000000" w:rsidRDefault="00000000" w:rsidRPr="00000000" w14:paraId="00000026">
      <w:pPr>
        <w:numPr>
          <w:ilvl w:val="0"/>
          <w:numId w:val="3"/>
        </w:numPr>
        <w:spacing w:after="100" w:before="240" w:lineRule="auto"/>
        <w:ind w:left="450" w:hanging="360"/>
        <w:rPr>
          <w:u w:val="none"/>
        </w:rPr>
      </w:pPr>
      <w:r w:rsidDel="00000000" w:rsidR="00000000" w:rsidRPr="00000000">
        <w:rPr>
          <w:rtl w:val="0"/>
        </w:rPr>
        <w:t xml:space="preserve">Der Verein haftet nach gesetzlichen Vorschriften. Der Vorstand ist ermächtigt, für risikobehaftete Formen geeignete Versicherungen abzuschließen.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ff4je9lrl15" w:id="6"/>
      <w:bookmarkEnd w:id="6"/>
      <w:r w:rsidDel="00000000" w:rsidR="00000000" w:rsidRPr="00000000">
        <w:rPr>
          <w:b w:val="1"/>
          <w:color w:val="000000"/>
          <w:sz w:val="26"/>
          <w:szCs w:val="26"/>
          <w:rtl w:val="0"/>
        </w:rPr>
        <w:t xml:space="preserve">§ 4 Vorstand</w:t>
      </w:r>
    </w:p>
    <w:p w:rsidR="00000000" w:rsidDel="00000000" w:rsidP="00000000" w:rsidRDefault="00000000" w:rsidRPr="00000000" w14:paraId="00000028">
      <w:pPr>
        <w:numPr>
          <w:ilvl w:val="0"/>
          <w:numId w:val="13"/>
        </w:numPr>
        <w:spacing w:after="100" w:before="240" w:lineRule="auto"/>
        <w:ind w:left="450" w:hanging="360"/>
        <w:rPr>
          <w:u w:val="none"/>
        </w:rPr>
      </w:pPr>
      <w:r w:rsidDel="00000000" w:rsidR="00000000" w:rsidRPr="00000000">
        <w:rPr>
          <w:rtl w:val="0"/>
        </w:rPr>
        <w:t xml:space="preserve">Der Vorstand besteht aus mindestens einer natürlichen Person; eine Höchstzahl ist nicht festgelegt.</w:t>
      </w:r>
    </w:p>
    <w:p w:rsidR="00000000" w:rsidDel="00000000" w:rsidP="00000000" w:rsidRDefault="00000000" w:rsidRPr="00000000" w14:paraId="00000029">
      <w:pPr>
        <w:numPr>
          <w:ilvl w:val="0"/>
          <w:numId w:val="13"/>
        </w:numPr>
        <w:spacing w:after="100" w:before="240" w:lineRule="auto"/>
        <w:ind w:left="450" w:hanging="360"/>
        <w:rPr>
          <w:u w:val="none"/>
        </w:rPr>
      </w:pPr>
      <w:r w:rsidDel="00000000" w:rsidR="00000000" w:rsidRPr="00000000">
        <w:rPr>
          <w:rtl w:val="0"/>
        </w:rPr>
        <w:t xml:space="preserve">Die Amtszeit beträgt drei Jahre; Wiederwahl ist zulässig.</w:t>
      </w:r>
    </w:p>
    <w:p w:rsidR="00000000" w:rsidDel="00000000" w:rsidP="00000000" w:rsidRDefault="00000000" w:rsidRPr="00000000" w14:paraId="0000002A">
      <w:pPr>
        <w:numPr>
          <w:ilvl w:val="0"/>
          <w:numId w:val="13"/>
        </w:numPr>
        <w:spacing w:after="100" w:before="240" w:lineRule="auto"/>
        <w:ind w:left="450" w:hanging="360"/>
        <w:rPr>
          <w:u w:val="none"/>
        </w:rPr>
      </w:pPr>
      <w:r w:rsidDel="00000000" w:rsidR="00000000" w:rsidRPr="00000000">
        <w:rPr>
          <w:rtl w:val="0"/>
        </w:rPr>
        <w:t xml:space="preserve">Der Vorstand vertritt den Verein gerichtlich und außergerichtlich (§ 26 BGB).</w:t>
      </w:r>
    </w:p>
    <w:p w:rsidR="00000000" w:rsidDel="00000000" w:rsidP="00000000" w:rsidRDefault="00000000" w:rsidRPr="00000000" w14:paraId="0000002B">
      <w:pPr>
        <w:numPr>
          <w:ilvl w:val="0"/>
          <w:numId w:val="13"/>
        </w:numPr>
        <w:spacing w:after="100" w:before="240" w:lineRule="auto"/>
        <w:ind w:left="450" w:hanging="360"/>
        <w:rPr>
          <w:u w:val="none"/>
        </w:rPr>
      </w:pPr>
      <w:r w:rsidDel="00000000" w:rsidR="00000000" w:rsidRPr="00000000">
        <w:rPr>
          <w:rtl w:val="0"/>
        </w:rPr>
        <w:t xml:space="preserve">Beschlüsse werden mit einfacher Mehrheit gefasst; bei </w:t>
      </w:r>
      <w:r w:rsidDel="00000000" w:rsidR="00000000" w:rsidRPr="00000000">
        <w:rPr>
          <w:rtl w:val="0"/>
        </w:rPr>
        <w:t xml:space="preserve">Stimmgleichheit</w:t>
      </w:r>
      <w:r w:rsidDel="00000000" w:rsidR="00000000" w:rsidRPr="00000000">
        <w:rPr>
          <w:rtl w:val="0"/>
        </w:rPr>
        <w:t xml:space="preserve"> entscheidet der/die Vorsitzende.</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Rollentitel wie „Chief Locomotive Irregularity Officer“, „Head of Formulated Formfulness“ oder „Assistant to the Emotional Manager“ können bei mangelnder Integrität selbst vergeben werden.</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0vzz7lobdfu" w:id="7"/>
      <w:bookmarkEnd w:id="7"/>
      <w:r w:rsidDel="00000000" w:rsidR="00000000" w:rsidRPr="00000000">
        <w:rPr>
          <w:b w:val="1"/>
          <w:color w:val="000000"/>
          <w:sz w:val="26"/>
          <w:szCs w:val="26"/>
          <w:rtl w:val="0"/>
        </w:rPr>
        <w:t xml:space="preserve">§ 5 Mitgliederversammlung</w:t>
      </w:r>
    </w:p>
    <w:p w:rsidR="00000000" w:rsidDel="00000000" w:rsidP="00000000" w:rsidRDefault="00000000" w:rsidRPr="00000000" w14:paraId="0000002F">
      <w:pPr>
        <w:numPr>
          <w:ilvl w:val="0"/>
          <w:numId w:val="10"/>
        </w:numPr>
        <w:spacing w:after="100" w:before="240" w:lineRule="auto"/>
        <w:ind w:left="450" w:hanging="360"/>
        <w:rPr>
          <w:u w:val="none"/>
        </w:rPr>
      </w:pPr>
      <w:r w:rsidDel="00000000" w:rsidR="00000000" w:rsidRPr="00000000">
        <w:rPr>
          <w:rtl w:val="0"/>
        </w:rPr>
        <w:t xml:space="preserve">Findet mindestens einmal jährlich </w:t>
      </w:r>
      <w:r w:rsidDel="00000000" w:rsidR="00000000" w:rsidRPr="00000000">
        <w:rPr>
          <w:rtl w:val="0"/>
        </w:rPr>
        <w:t xml:space="preserve">statt;</w:t>
      </w:r>
      <w:r w:rsidDel="00000000" w:rsidR="00000000" w:rsidRPr="00000000">
        <w:rPr>
          <w:rtl w:val="0"/>
        </w:rPr>
        <w:t xml:space="preserve"> Einberufung durch den Vorstand.</w:t>
      </w:r>
    </w:p>
    <w:p w:rsidR="00000000" w:rsidDel="00000000" w:rsidP="00000000" w:rsidRDefault="00000000" w:rsidRPr="00000000" w14:paraId="00000030">
      <w:pPr>
        <w:numPr>
          <w:ilvl w:val="0"/>
          <w:numId w:val="10"/>
        </w:numPr>
        <w:spacing w:after="100" w:before="240" w:lineRule="auto"/>
        <w:ind w:left="450" w:hanging="360"/>
        <w:rPr>
          <w:u w:val="none"/>
        </w:rPr>
      </w:pPr>
      <w:r w:rsidDel="00000000" w:rsidR="00000000" w:rsidRPr="00000000">
        <w:rPr>
          <w:rtl w:val="0"/>
        </w:rPr>
        <w:t xml:space="preserve">Einladung mindestens zwei Wochen vorher per E-Mail mit Tagesordnung.</w:t>
      </w:r>
      <w:r w:rsidDel="00000000" w:rsidR="00000000" w:rsidRPr="00000000">
        <w:rPr>
          <w:rtl w:val="0"/>
        </w:rPr>
      </w:r>
    </w:p>
    <w:p w:rsidR="00000000" w:rsidDel="00000000" w:rsidP="00000000" w:rsidRDefault="00000000" w:rsidRPr="00000000" w14:paraId="00000031">
      <w:pPr>
        <w:numPr>
          <w:ilvl w:val="0"/>
          <w:numId w:val="10"/>
        </w:numPr>
        <w:spacing w:after="100" w:before="240" w:lineRule="auto"/>
        <w:ind w:left="450" w:hanging="360"/>
        <w:rPr>
          <w:u w:val="none"/>
        </w:rPr>
      </w:pPr>
      <w:r w:rsidDel="00000000" w:rsidR="00000000" w:rsidRPr="00000000">
        <w:rPr>
          <w:rtl w:val="0"/>
        </w:rPr>
        <w:t xml:space="preserve">Zuständigkeiten:</w:t>
        <w:br w:type="textWrapping"/>
        <w:t xml:space="preserve">  – Wahl und Abberufung des Vorstands;</w:t>
        <w:br w:type="textWrapping"/>
        <w:t xml:space="preserve">  – Entlastung des Vorstands;</w:t>
        <w:br w:type="textWrapping"/>
        <w:t xml:space="preserve">  – Satzungsänderungen;</w:t>
        <w:br w:type="textWrapping"/>
        <w:t xml:space="preserve">  – Auflösung des Vereins.</w:t>
      </w:r>
    </w:p>
    <w:p w:rsidR="00000000" w:rsidDel="00000000" w:rsidP="00000000" w:rsidRDefault="00000000" w:rsidRPr="00000000" w14:paraId="00000032">
      <w:pPr>
        <w:numPr>
          <w:ilvl w:val="0"/>
          <w:numId w:val="10"/>
        </w:numPr>
        <w:spacing w:after="100" w:before="240" w:lineRule="auto"/>
        <w:ind w:left="450" w:hanging="360"/>
        <w:rPr>
          <w:u w:val="none"/>
        </w:rPr>
      </w:pPr>
      <w:r w:rsidDel="00000000" w:rsidR="00000000" w:rsidRPr="00000000">
        <w:rPr>
          <w:rtl w:val="0"/>
        </w:rPr>
        <w:t xml:space="preserve">Beschlüsse mit einfacher Mehrheit der Anwesenden.</w:t>
      </w:r>
    </w:p>
    <w:p w:rsidR="00000000" w:rsidDel="00000000" w:rsidP="00000000" w:rsidRDefault="00000000" w:rsidRPr="00000000" w14:paraId="00000033">
      <w:pPr>
        <w:numPr>
          <w:ilvl w:val="0"/>
          <w:numId w:val="10"/>
        </w:numPr>
        <w:spacing w:after="100" w:before="240" w:lineRule="auto"/>
        <w:ind w:left="450" w:hanging="360"/>
        <w:rPr>
          <w:u w:val="none"/>
        </w:rPr>
      </w:pPr>
      <w:r w:rsidDel="00000000" w:rsidR="00000000" w:rsidRPr="00000000">
        <w:rPr>
          <w:rtl w:val="0"/>
        </w:rPr>
        <w:t xml:space="preserve">Versammlungen können physisch, digital oder hybrid durchgeführt werden.</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ihwnsoa1uyad" w:id="8"/>
      <w:bookmarkEnd w:id="8"/>
      <w:r w:rsidDel="00000000" w:rsidR="00000000" w:rsidRPr="00000000">
        <w:rPr>
          <w:b w:val="1"/>
          <w:color w:val="000000"/>
          <w:sz w:val="26"/>
          <w:szCs w:val="26"/>
          <w:rtl w:val="0"/>
        </w:rPr>
        <w:t xml:space="preserve">§ 6 Klärung und Integritätsstörung</w:t>
      </w:r>
    </w:p>
    <w:p w:rsidR="00000000" w:rsidDel="00000000" w:rsidP="00000000" w:rsidRDefault="00000000" w:rsidRPr="00000000" w14:paraId="00000036">
      <w:pPr>
        <w:keepNext w:val="1"/>
        <w:spacing w:after="240" w:before="240" w:lineRule="auto"/>
        <w:rPr/>
      </w:pPr>
      <w:r w:rsidDel="00000000" w:rsidR="00000000" w:rsidRPr="00000000">
        <w:rPr>
          <w:rtl w:val="0"/>
        </w:rPr>
        <w:t xml:space="preserve">Wo Wirkung ausbleibt oder Widersprüche entstehen, kann jede Rolle Klärung anregen.</w:t>
        <w:br w:type="textWrapping"/>
        <w:br w:type="textWrapping"/>
        <w:t xml:space="preserve">Klärung ist selbst eine Form und wird im </w:t>
      </w:r>
      <w:r w:rsidDel="00000000" w:rsidR="00000000" w:rsidRPr="00000000">
        <w:rPr>
          <w:rtl w:val="0"/>
        </w:rPr>
        <w:t xml:space="preserve">Effect-Ledger</w:t>
      </w:r>
      <w:r w:rsidDel="00000000" w:rsidR="00000000" w:rsidRPr="00000000">
        <w:rPr>
          <w:rtl w:val="0"/>
        </w:rPr>
        <w:t xml:space="preserve"> dokumentiert, </w:t>
      </w:r>
      <w:r w:rsidDel="00000000" w:rsidR="00000000" w:rsidRPr="00000000">
        <w:rPr>
          <w:rtl w:val="0"/>
        </w:rPr>
        <w:t xml:space="preserve">inklusive Reviewer-Eintrag.</w:t>
      </w:r>
      <w:r w:rsidDel="00000000" w:rsidR="00000000" w:rsidRPr="00000000">
        <w:rPr>
          <w:rtl w:val="0"/>
        </w:rPr>
        <w:br w:type="textWrapping"/>
        <w:br w:type="textWrapping"/>
        <w:t xml:space="preserve">Ziel ist Wiederherstellung von Handlungssicherheit, nicht Schuldzuweisung.</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3"/>
        <w:keepNext w:val="1"/>
        <w:spacing w:after="240" w:before="240" w:lineRule="auto"/>
        <w:rPr>
          <w:b w:val="1"/>
          <w:color w:val="000000"/>
          <w:sz w:val="26"/>
          <w:szCs w:val="26"/>
        </w:rPr>
      </w:pPr>
      <w:bookmarkStart w:colFirst="0" w:colLast="0" w:name="_vvpdysf6fuir" w:id="9"/>
      <w:bookmarkEnd w:id="9"/>
      <w:r w:rsidDel="00000000" w:rsidR="00000000" w:rsidRPr="00000000">
        <w:rPr>
          <w:b w:val="1"/>
          <w:color w:val="000000"/>
          <w:sz w:val="26"/>
          <w:szCs w:val="26"/>
          <w:rtl w:val="0"/>
        </w:rPr>
        <w:t xml:space="preserve">§ 7 Mittelverwendung</w:t>
      </w:r>
    </w:p>
    <w:p w:rsidR="00000000" w:rsidDel="00000000" w:rsidP="00000000" w:rsidRDefault="00000000" w:rsidRPr="00000000" w14:paraId="00000039">
      <w:pPr>
        <w:spacing w:after="200" w:before="240" w:lineRule="auto"/>
        <w:rPr/>
      </w:pPr>
      <w:r w:rsidDel="00000000" w:rsidR="00000000" w:rsidRPr="00000000">
        <w:rPr>
          <w:rtl w:val="0"/>
        </w:rPr>
        <w:t xml:space="preserve">Die Finanzbuchhaltung erfolgt gemäß HGB und AO.</w:t>
      </w:r>
    </w:p>
    <w:p w:rsidR="00000000" w:rsidDel="00000000" w:rsidP="00000000" w:rsidRDefault="00000000" w:rsidRPr="00000000" w14:paraId="0000003A">
      <w:pPr>
        <w:spacing w:after="200" w:before="240" w:lineRule="auto"/>
        <w:rPr/>
      </w:pPr>
      <w:r w:rsidDel="00000000" w:rsidR="00000000" w:rsidRPr="00000000">
        <w:rPr>
          <w:rtl w:val="0"/>
        </w:rPr>
        <w:t xml:space="preserve">Impact-Units (IU) dienen ausschließlich der ergänzenden Wirkungstransparenz im externen Reporting. Sie ersetzen keine interne Buchführung oder Entscheidungsgrundlage und sind nicht zum Leistungsvergleich zwischen Instituten bestimmt.</w:t>
      </w:r>
    </w:p>
    <w:p w:rsidR="00000000" w:rsidDel="00000000" w:rsidP="00000000" w:rsidRDefault="00000000" w:rsidRPr="00000000" w14:paraId="0000003B">
      <w:pPr>
        <w:numPr>
          <w:ilvl w:val="0"/>
          <w:numId w:val="8"/>
        </w:numPr>
        <w:spacing w:after="100" w:before="0" w:lineRule="auto"/>
        <w:ind w:left="360" w:hanging="360"/>
        <w:rPr>
          <w:u w:val="none"/>
        </w:rPr>
      </w:pPr>
      <w:r w:rsidDel="00000000" w:rsidR="00000000" w:rsidRPr="00000000">
        <w:rPr>
          <w:rtl w:val="0"/>
        </w:rPr>
        <w:t xml:space="preserve">Mittel des Vereins dürfen nur für satzungsgemäße Zwecke verwendet werden.</w:t>
      </w:r>
    </w:p>
    <w:p w:rsidR="00000000" w:rsidDel="00000000" w:rsidP="00000000" w:rsidRDefault="00000000" w:rsidRPr="00000000" w14:paraId="0000003C">
      <w:pPr>
        <w:numPr>
          <w:ilvl w:val="0"/>
          <w:numId w:val="8"/>
        </w:numPr>
        <w:spacing w:after="100" w:before="240" w:lineRule="auto"/>
        <w:ind w:left="360" w:hanging="360"/>
        <w:rPr>
          <w:u w:val="none"/>
        </w:rPr>
      </w:pPr>
      <w:r w:rsidDel="00000000" w:rsidR="00000000" w:rsidRPr="00000000">
        <w:rPr>
          <w:rtl w:val="0"/>
        </w:rPr>
        <w:t xml:space="preserve">Mitglieder erhalten keine Zuwendungen aus Mitteln des Vereins.</w:t>
      </w:r>
    </w:p>
    <w:p w:rsidR="00000000" w:rsidDel="00000000" w:rsidP="00000000" w:rsidRDefault="00000000" w:rsidRPr="00000000" w14:paraId="0000003D">
      <w:pPr>
        <w:numPr>
          <w:ilvl w:val="0"/>
          <w:numId w:val="8"/>
        </w:numPr>
        <w:spacing w:after="100" w:before="240" w:lineRule="auto"/>
        <w:ind w:left="360" w:hanging="360"/>
        <w:rPr>
          <w:u w:val="none"/>
        </w:rPr>
      </w:pPr>
      <w:r w:rsidDel="00000000" w:rsidR="00000000" w:rsidRPr="00000000">
        <w:rPr>
          <w:rtl w:val="0"/>
        </w:rPr>
        <w:t xml:space="preserve">Angemessene Vergütung für Tätigkeiten ist zulässig, sofern sie der Wirkung dient und § 55 AO entspricht.</w:t>
      </w:r>
    </w:p>
    <w:p w:rsidR="00000000" w:rsidDel="00000000" w:rsidP="00000000" w:rsidRDefault="00000000" w:rsidRPr="00000000" w14:paraId="0000003E">
      <w:pPr>
        <w:numPr>
          <w:ilvl w:val="0"/>
          <w:numId w:val="8"/>
        </w:numPr>
        <w:spacing w:after="100" w:before="240" w:lineRule="auto"/>
        <w:ind w:left="360"/>
      </w:pPr>
      <w:r w:rsidDel="00000000" w:rsidR="00000000" w:rsidRPr="00000000">
        <w:rPr>
          <w:rtl w:val="0"/>
        </w:rPr>
        <w:t xml:space="preserve">Einnahmen aus wirtschaftlicher Tätigkeit – insbesondere Lizenz- oder Nutzungsgebühren – fließen uneingeschränkt dem gemeinnützigen Zweck zu. Nach Abzug gesetzlicher Steuern werden überschüssige Mittel zielgerichtet an steuerbegünstigte Projekte oder Organisationen weitergeleitet, die nach Wirkungskriterien des Anhangs eine nachweislich hohe Integrität aufweisen.</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wwycslmwid5s" w:id="10"/>
      <w:bookmarkEnd w:id="10"/>
      <w:r w:rsidDel="00000000" w:rsidR="00000000" w:rsidRPr="00000000">
        <w:rPr>
          <w:b w:val="1"/>
          <w:color w:val="000000"/>
          <w:sz w:val="26"/>
          <w:szCs w:val="26"/>
          <w:rtl w:val="0"/>
        </w:rPr>
        <w:t xml:space="preserve">§ 8 Externe Wirkung</w:t>
      </w:r>
    </w:p>
    <w:p w:rsidR="00000000" w:rsidDel="00000000" w:rsidP="00000000" w:rsidRDefault="00000000" w:rsidRPr="00000000" w14:paraId="00000041">
      <w:pPr>
        <w:spacing w:after="240" w:before="240" w:lineRule="auto"/>
        <w:rPr/>
      </w:pPr>
      <w:r w:rsidDel="00000000" w:rsidR="00000000" w:rsidRPr="00000000">
        <w:rPr>
          <w:rtl w:val="0"/>
        </w:rPr>
        <w:t xml:space="preserve">Formen mit Außenwirkung erzeugen nachvollziehbare Verantwortung.</w:t>
        <w:br w:type="textWrapping"/>
        <w:t xml:space="preserve">Rollen, die öffentlich oder rechtswirksam handeln, kennzeichnen diese Verantwortung sichtbar.</w:t>
        <w:br w:type="textWrapping"/>
        <w:t xml:space="preserve">Die Struktur schafft Transparenz, ersetzt aber keine gesetzlichen Pflichten.</w:t>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dpm7sryhaqz" w:id="11"/>
      <w:bookmarkEnd w:id="11"/>
      <w:r w:rsidDel="00000000" w:rsidR="00000000" w:rsidRPr="00000000">
        <w:rPr>
          <w:b w:val="1"/>
          <w:color w:val="000000"/>
          <w:sz w:val="26"/>
          <w:szCs w:val="26"/>
          <w:rtl w:val="0"/>
        </w:rPr>
        <w:t xml:space="preserve">§ 9 Auflösung</w:t>
      </w:r>
    </w:p>
    <w:p w:rsidR="00000000" w:rsidDel="00000000" w:rsidP="00000000" w:rsidRDefault="00000000" w:rsidRPr="00000000" w14:paraId="00000044">
      <w:pPr>
        <w:spacing w:after="240" w:before="240" w:lineRule="auto"/>
        <w:rPr/>
      </w:pPr>
      <w:r w:rsidDel="00000000" w:rsidR="00000000" w:rsidRPr="00000000">
        <w:rPr>
          <w:rtl w:val="0"/>
        </w:rPr>
        <w:t xml:space="preserve">Die Auflösung </w:t>
      </w:r>
      <w:r w:rsidDel="00000000" w:rsidR="00000000" w:rsidRPr="00000000">
        <w:rPr>
          <w:rtl w:val="0"/>
        </w:rPr>
        <w:t xml:space="preserve">bedarf Zweidrittelmehrheit</w:t>
      </w:r>
      <w:r w:rsidDel="00000000" w:rsidR="00000000" w:rsidRPr="00000000">
        <w:rPr>
          <w:rtl w:val="0"/>
        </w:rPr>
        <w:t xml:space="preserve"> der Mitgliederversammlung.</w:t>
        <w:br w:type="textWrapping"/>
        <w:t xml:space="preserve">Vermögen fällt an eine steuerbegünstigte Körperschaft mit vergleichbarem Zweck.</w:t>
        <w:br w:type="textWrapping"/>
        <w:t xml:space="preserve">Wirtschaftliche Umnutzung oder private Ausschüttung ist ausgeschlossen.</w:t>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qglocnqflcul" w:id="12"/>
      <w:bookmarkEnd w:id="12"/>
      <w:r w:rsidDel="00000000" w:rsidR="00000000" w:rsidRPr="00000000">
        <w:rPr>
          <w:b w:val="1"/>
          <w:color w:val="000000"/>
          <w:sz w:val="26"/>
          <w:szCs w:val="26"/>
          <w:rtl w:val="0"/>
        </w:rPr>
        <w:t xml:space="preserve">§ 10 Scope of Application</w:t>
      </w:r>
    </w:p>
    <w:p w:rsidR="00000000" w:rsidDel="00000000" w:rsidP="00000000" w:rsidRDefault="00000000" w:rsidRPr="00000000" w14:paraId="00000047">
      <w:pPr>
        <w:spacing w:after="240" w:before="240" w:lineRule="auto"/>
        <w:rPr/>
      </w:pPr>
      <w:r w:rsidDel="00000000" w:rsidR="00000000" w:rsidRPr="00000000">
        <w:rPr>
          <w:rtl w:val="0"/>
        </w:rPr>
        <w:t xml:space="preserve">Der nachstehende Anhang „Framework“ bildet den internen Anwendungsrahmen.</w:t>
        <w:br w:type="textWrapping"/>
        <w:t xml:space="preserve">Er ist Teil dieser Satzung, jedoch nicht rechtsverbindlich gegenüber Dritten.</w:t>
      </w:r>
    </w:p>
    <w:p w:rsidR="00000000" w:rsidDel="00000000" w:rsidP="00000000" w:rsidRDefault="00000000" w:rsidRPr="00000000" w14:paraId="00000048">
      <w:pPr>
        <w:spacing w:after="240" w:before="240" w:lineRule="auto"/>
        <w:rPr/>
      </w:pPr>
      <w:r w:rsidDel="00000000" w:rsidR="00000000" w:rsidRPr="00000000">
        <w:rPr>
          <w:rtl w:val="0"/>
        </w:rPr>
        <w:t xml:space="preserve">Der Vorstand kann einzelne Parameter des Anhangs durch schriftlichen Beschluss aktualisieren, sofern Integrität, Transparenz und Gemeinnützigkeit gewahrt bleiben.</w:t>
      </w:r>
    </w:p>
    <w:p w:rsidR="00000000" w:rsidDel="00000000" w:rsidP="00000000" w:rsidRDefault="00000000" w:rsidRPr="00000000" w14:paraId="00000049">
      <w:pPr>
        <w:spacing w:after="240" w:before="240" w:lineRule="auto"/>
        <w:rPr/>
      </w:pPr>
      <w:r w:rsidDel="00000000" w:rsidR="00000000" w:rsidRPr="00000000">
        <w:rPr>
          <w:rtl w:val="0"/>
        </w:rPr>
        <w:t xml:space="preserve">Die in diesem Rahmen entwickelten Formen, Dokumente und Werkzeuge können vom Vorstand unter offenen Lizenzen (z. B. CC-BY 4.0, MIT) veröffentlicht werden. Jede weiterführende Nutzung verpflichtet zur Veröffentlichung erzielter </w:t>
      </w:r>
      <w:r w:rsidDel="00000000" w:rsidR="00000000" w:rsidRPr="00000000">
        <w:rPr>
          <w:rtl w:val="0"/>
        </w:rPr>
        <w:t xml:space="preserve">Wirkungsdaten</w:t>
      </w:r>
      <w:r w:rsidDel="00000000" w:rsidR="00000000" w:rsidRPr="00000000">
        <w:rPr>
          <w:rtl w:val="0"/>
        </w:rPr>
        <w:t xml:space="preserve"> gemäß diesem Rahmen.</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keepNext w:val="0"/>
        <w:keepLines w:val="0"/>
        <w:spacing w:after="80" w:lineRule="auto"/>
        <w:rPr>
          <w:i w:val="1"/>
        </w:rPr>
      </w:pPr>
      <w:r w:rsidDel="00000000" w:rsidR="00000000" w:rsidRPr="00000000">
        <w:rPr>
          <w:b w:val="1"/>
          <w:sz w:val="26"/>
          <w:szCs w:val="26"/>
          <w:rtl w:val="0"/>
        </w:rPr>
        <w:t xml:space="preserve">ANHANG</w:t>
      </w:r>
      <w:r w:rsidDel="00000000" w:rsidR="00000000" w:rsidRPr="00000000">
        <w:rPr>
          <w:i w:val="1"/>
          <w:rtl w:val="0"/>
        </w:rPr>
        <w:br w:type="textWrapping"/>
      </w:r>
    </w:p>
    <w:p w:rsidR="00000000" w:rsidDel="00000000" w:rsidP="00000000" w:rsidRDefault="00000000" w:rsidRPr="00000000" w14:paraId="0000004C">
      <w:pPr>
        <w:tabs>
          <w:tab w:val="right" w:leader="none" w:pos="9180"/>
        </w:tabs>
        <w:rPr/>
      </w:pPr>
      <w:r w:rsidDel="00000000" w:rsidR="00000000" w:rsidRPr="00000000">
        <w:rPr>
          <w:b w:val="1"/>
          <w:sz w:val="20"/>
          <w:szCs w:val="20"/>
          <w:rtl w:val="0"/>
        </w:rPr>
        <w:t xml:space="preserve">[Begin des Frameworks – version forma-03-03-2025-00]</w:t>
        <w:tab/>
      </w:r>
      <w:r w:rsidDel="00000000" w:rsidR="00000000" w:rsidRPr="00000000">
        <w:rPr>
          <w:b w:val="1"/>
          <w:rtl w:val="0"/>
        </w:rPr>
        <w:br w:type="textWrapping"/>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vderja9pxih0" w:id="13"/>
      <w:bookmarkEnd w:id="13"/>
      <w:r w:rsidDel="00000000" w:rsidR="00000000" w:rsidRPr="00000000">
        <w:rPr>
          <w:b w:val="1"/>
          <w:color w:val="000000"/>
          <w:sz w:val="26"/>
          <w:szCs w:val="26"/>
          <w:rtl w:val="0"/>
        </w:rPr>
        <w:t xml:space="preserve">1 </w:t>
      </w:r>
      <w:r w:rsidDel="00000000" w:rsidR="00000000" w:rsidRPr="00000000">
        <w:rPr>
          <w:b w:val="1"/>
          <w:color w:val="000000"/>
          <w:sz w:val="26"/>
          <w:szCs w:val="26"/>
          <w:rtl w:val="0"/>
        </w:rPr>
        <w:t xml:space="preserve">Begriffslexikon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110"/>
        <w:tblGridChange w:id="0">
          <w:tblGrid>
            <w:gridCol w:w="2100"/>
            <w:gridCol w:w="71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sz w:val="20"/>
                <w:szCs w:val="20"/>
              </w:rPr>
            </w:pPr>
            <w:r w:rsidDel="00000000" w:rsidR="00000000" w:rsidRPr="00000000">
              <w:rPr>
                <w:b w:val="1"/>
                <w:sz w:val="20"/>
                <w:szCs w:val="20"/>
                <w:rtl w:val="0"/>
              </w:rPr>
              <w:t xml:space="preserve">Begriff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sz w:val="20"/>
                <w:szCs w:val="20"/>
              </w:rPr>
            </w:pPr>
            <w:r w:rsidDel="00000000" w:rsidR="00000000" w:rsidRPr="00000000">
              <w:rPr>
                <w:b w:val="1"/>
                <w:sz w:val="20"/>
                <w:szCs w:val="20"/>
                <w:rtl w:val="0"/>
              </w:rPr>
              <w:t xml:space="preserve">Definition / Arbeitsbedeutung</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b w:val="1"/>
                <w:i w:val="1"/>
              </w:rPr>
            </w:pPr>
            <w:r w:rsidDel="00000000" w:rsidR="00000000" w:rsidRPr="00000000">
              <w:rPr>
                <w:b w:val="1"/>
                <w:i w:val="1"/>
                <w:rtl w:val="0"/>
              </w:rPr>
              <w:t xml:space="preserve">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Klar umrissene, übertragbare Handlungseinheit mit </w:t>
            </w:r>
            <w:r w:rsidDel="00000000" w:rsidR="00000000" w:rsidRPr="00000000">
              <w:rPr>
                <w:rtl w:val="0"/>
              </w:rPr>
              <w:t xml:space="preserve">definiertem</w:t>
            </w:r>
            <w:r w:rsidDel="00000000" w:rsidR="00000000" w:rsidRPr="00000000">
              <w:rPr>
                <w:rtl w:val="0"/>
              </w:rPr>
              <w:t xml:space="preserve"> Zweck. Eine Form wird aktiviert, wenn sie zur gemeinsamen Handlungsfähigkeit beiträgt, und tritt zurück, sobald ihre Wirkung erfüllt ist oder durch bessere Struktur ersetzt wird.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b w:val="1"/>
                <w:i w:val="1"/>
              </w:rPr>
            </w:pPr>
            <w:r w:rsidDel="00000000" w:rsidR="00000000" w:rsidRPr="00000000">
              <w:rPr>
                <w:b w:val="1"/>
                <w:i w:val="1"/>
                <w:rtl w:val="0"/>
              </w:rPr>
              <w:t xml:space="preserve">Wirkung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rtl w:val="0"/>
              </w:rPr>
              <w:t xml:space="preserve">Nachweisbare Verbesserung eines zuvor benannten Systemzustands. Wirkung entsteht ausschließlich durch Anwendung;</w:t>
              <w:br w:type="textWrapping"/>
            </w:r>
            <w:r w:rsidDel="00000000" w:rsidR="00000000" w:rsidRPr="00000000">
              <w:rPr>
                <w:rtl w:val="0"/>
              </w:rPr>
              <w:t xml:space="preserve">Absichten zählen nicht</w:t>
            </w:r>
            <w:r w:rsidDel="00000000" w:rsidR="00000000" w:rsidRPr="00000000">
              <w:rPr>
                <w:sz w:val="20"/>
                <w:szCs w:val="20"/>
                <w:rtl w:val="0"/>
              </w:rPr>
              <w:t xml:space="preserve"> – Luhmann, in mildem Dissens: ‚Yo.‘</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b w:val="1"/>
                <w:i w:val="1"/>
              </w:rPr>
            </w:pPr>
            <w:r w:rsidDel="00000000" w:rsidR="00000000" w:rsidRPr="00000000">
              <w:rPr>
                <w:b w:val="1"/>
                <w:i w:val="1"/>
                <w:rtl w:val="0"/>
              </w:rPr>
              <w:t xml:space="preserve">Vertrauen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Vertrauen ist wiederholbare Wirkungstreue im offenen Handeln. Es entsteht durch nachvollziehbare Verlässlichkeit – und schwindet, wenn diese nicht mehr begründet werden kann.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b w:val="1"/>
                <w:i w:val="1"/>
              </w:rPr>
            </w:pPr>
            <w:r w:rsidDel="00000000" w:rsidR="00000000" w:rsidRPr="00000000">
              <w:rPr>
                <w:b w:val="1"/>
                <w:i w:val="1"/>
                <w:rtl w:val="0"/>
              </w:rPr>
              <w:t xml:space="preserve">Rolle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Funktionshülle, die durch Handlung entsteht – nicht durch Ernennung. Rollen bleiben gültig, solange sie Wirkung erzeugen.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b w:val="1"/>
                <w:i w:val="1"/>
              </w:rPr>
            </w:pPr>
            <w:r w:rsidDel="00000000" w:rsidR="00000000" w:rsidRPr="00000000">
              <w:rPr>
                <w:b w:val="1"/>
                <w:i w:val="1"/>
                <w:rtl w:val="0"/>
              </w:rPr>
              <w:t xml:space="preserve">Impuls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Strukturierter Vorschlag mit eingebetteter Handlungsform und klarer Zielsetzung. Entfaltet Wirkung nur, wenn er transparent dokumentiert, nachvollziehbar plausibilisiert und durch Handlung aktiviert wird. Enthält alle Informationen, die zur sofortigen Ausführung durch eine beliebige befähigte Person oder Entität erforderlich sind.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b w:val="1"/>
                <w:i w:val="1"/>
              </w:rPr>
            </w:pPr>
            <w:r w:rsidDel="00000000" w:rsidR="00000000" w:rsidRPr="00000000">
              <w:rPr>
                <w:b w:val="1"/>
                <w:i w:val="1"/>
                <w:rtl w:val="0"/>
              </w:rPr>
              <w:t xml:space="preserve">Klärung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Strukturierter Prozess zur Wiederherstellung von Handlungssicherheit; ersetzt Schuldzuweisung durch transparente Nachvollziehbarkeit.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b w:val="1"/>
                <w:i w:val="1"/>
              </w:rPr>
            </w:pPr>
            <w:r w:rsidDel="00000000" w:rsidR="00000000" w:rsidRPr="00000000">
              <w:rPr>
                <w:b w:val="1"/>
                <w:i w:val="1"/>
                <w:rtl w:val="0"/>
              </w:rPr>
              <w:t xml:space="preserve">Integritätsstörung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Nachvollziehbare Störung von Wirkung, Vertrauen oder Klarheit. Betroffene Formen / Rollen werden pausiert, bis Klärung erfolgt.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b w:val="1"/>
                <w:i w:val="1"/>
              </w:rPr>
            </w:pPr>
            <w:r w:rsidDel="00000000" w:rsidR="00000000" w:rsidRPr="00000000">
              <w:rPr>
                <w:b w:val="1"/>
                <w:i w:val="1"/>
                <w:rtl w:val="0"/>
              </w:rPr>
              <w:t xml:space="preserve">Verantwortung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Dokumentierte Verbindung zwischen Handlung, Rolle und Auswirkung; unabhängig von Absicht, extern haftbar nach Gesetz.</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1"/>
        <w:keepLines w:val="0"/>
        <w:spacing w:before="280" w:lineRule="auto"/>
        <w:rPr>
          <w:b w:val="1"/>
          <w:color w:val="000000"/>
          <w:sz w:val="26"/>
          <w:szCs w:val="26"/>
        </w:rPr>
      </w:pPr>
      <w:bookmarkStart w:colFirst="0" w:colLast="0" w:name="_knsjb3ljiwhe" w:id="14"/>
      <w:bookmarkEnd w:id="14"/>
      <w:r w:rsidDel="00000000" w:rsidR="00000000" w:rsidRPr="00000000">
        <w:rPr>
          <w:b w:val="1"/>
          <w:color w:val="000000"/>
          <w:sz w:val="26"/>
          <w:szCs w:val="26"/>
          <w:rtl w:val="0"/>
        </w:rPr>
        <w:t xml:space="preserve">2 Impact-Metriken – externe </w:t>
      </w:r>
      <w:r w:rsidDel="00000000" w:rsidR="00000000" w:rsidRPr="00000000">
        <w:rPr>
          <w:b w:val="1"/>
          <w:color w:val="000000"/>
          <w:sz w:val="26"/>
          <w:szCs w:val="26"/>
          <w:rtl w:val="0"/>
        </w:rPr>
        <w:t xml:space="preserve">Berichtswerte</w:t>
      </w:r>
      <w:r w:rsidDel="00000000" w:rsidR="00000000" w:rsidRPr="00000000">
        <w:rPr>
          <w:rtl w:val="0"/>
        </w:rPr>
      </w:r>
    </w:p>
    <w:p w:rsidR="00000000" w:rsidDel="00000000" w:rsidP="00000000" w:rsidRDefault="00000000" w:rsidRPr="00000000" w14:paraId="00000063">
      <w:pPr>
        <w:pStyle w:val="Heading4"/>
        <w:keepNext w:val="1"/>
        <w:keepLines w:val="0"/>
        <w:spacing w:after="40" w:before="240" w:lineRule="auto"/>
        <w:rPr>
          <w:b w:val="1"/>
          <w:color w:val="000000"/>
          <w:sz w:val="22"/>
          <w:szCs w:val="22"/>
        </w:rPr>
      </w:pPr>
      <w:bookmarkStart w:colFirst="0" w:colLast="0" w:name="_5ow8shdjvuwd" w:id="15"/>
      <w:bookmarkEnd w:id="15"/>
      <w:r w:rsidDel="00000000" w:rsidR="00000000" w:rsidRPr="00000000">
        <w:rPr>
          <w:b w:val="1"/>
          <w:color w:val="000000"/>
          <w:sz w:val="22"/>
          <w:szCs w:val="22"/>
          <w:rtl w:val="0"/>
        </w:rPr>
        <w:t xml:space="preserve">Was als Wirkung gilt</w:t>
      </w:r>
    </w:p>
    <w:p w:rsidR="00000000" w:rsidDel="00000000" w:rsidP="00000000" w:rsidRDefault="00000000" w:rsidRPr="00000000" w14:paraId="00000064">
      <w:pPr>
        <w:spacing w:after="240" w:before="240" w:lineRule="auto"/>
        <w:rPr/>
      </w:pPr>
      <w:r w:rsidDel="00000000" w:rsidR="00000000" w:rsidRPr="00000000">
        <w:rPr>
          <w:rtl w:val="0"/>
        </w:rPr>
        <w:t xml:space="preserve">Wirkung ist eine nachvollziehbare Verbesserung eines konkreten Systemwerts (Metric).</w:t>
        <w:br w:type="textWrapping"/>
        <w:t xml:space="preserve">Der gewählte Wert muss beobachtbar, plausibel beeinflussbar und dokumentierbar sein.</w:t>
      </w:r>
    </w:p>
    <w:p w:rsidR="00000000" w:rsidDel="00000000" w:rsidP="00000000" w:rsidRDefault="00000000" w:rsidRPr="00000000" w14:paraId="00000065">
      <w:pPr>
        <w:pStyle w:val="Heading3"/>
        <w:keepNext w:val="0"/>
        <w:keepLines w:val="0"/>
        <w:spacing w:after="200" w:before="280" w:lineRule="auto"/>
        <w:rPr>
          <w:b w:val="1"/>
          <w:color w:val="000000"/>
          <w:sz w:val="26"/>
          <w:szCs w:val="26"/>
        </w:rPr>
      </w:pPr>
      <w:bookmarkStart w:colFirst="0" w:colLast="0" w:name="_arn7xc7hi9kn" w:id="16"/>
      <w:bookmarkEnd w:id="16"/>
      <w:r w:rsidDel="00000000" w:rsidR="00000000" w:rsidRPr="00000000">
        <w:rPr>
          <w:b w:val="1"/>
          <w:color w:val="000000"/>
          <w:sz w:val="26"/>
          <w:szCs w:val="26"/>
          <w:rtl w:val="0"/>
        </w:rPr>
        <w:t xml:space="preserve">Typische Metrics (Beispiele):</w:t>
      </w:r>
    </w:p>
    <w:p w:rsidR="00000000" w:rsidDel="00000000" w:rsidP="00000000" w:rsidRDefault="00000000" w:rsidRPr="00000000" w14:paraId="00000066">
      <w:pPr>
        <w:numPr>
          <w:ilvl w:val="0"/>
          <w:numId w:val="12"/>
        </w:numPr>
        <w:spacing w:after="100" w:before="0" w:lineRule="auto"/>
        <w:ind w:left="450" w:hanging="360"/>
      </w:pPr>
      <w:r w:rsidDel="00000000" w:rsidR="00000000" w:rsidRPr="00000000">
        <w:rPr>
          <w:b w:val="1"/>
          <w:rtl w:val="0"/>
        </w:rPr>
        <w:t xml:space="preserve">Wartezeit auf Hilfe</w:t>
        <w:br w:type="textWrapping"/>
      </w:r>
      <w:r w:rsidDel="00000000" w:rsidR="00000000" w:rsidRPr="00000000">
        <w:rPr>
          <w:rtl w:val="0"/>
        </w:rPr>
        <w:t xml:space="preserve">  z. B. „Tage von Erstkontakt bis Unterstützung durch Krisendienst“</w:t>
        <w:br w:type="textWrapping"/>
        <w:t xml:space="preserve">  </w:t>
      </w:r>
      <w:r w:rsidDel="00000000" w:rsidR="00000000" w:rsidRPr="00000000">
        <w:rPr>
          <w:rFonts w:ascii="Arial Unicode MS" w:cs="Arial Unicode MS" w:eastAsia="Arial Unicode MS" w:hAnsi="Arial Unicode MS"/>
          <w:i w:val="1"/>
          <w:rtl w:val="0"/>
        </w:rPr>
        <w:t xml:space="preserve">→ Zeigt direkte Verbesserung der </w:t>
      </w:r>
      <w:r w:rsidDel="00000000" w:rsidR="00000000" w:rsidRPr="00000000">
        <w:rPr>
          <w:i w:val="1"/>
          <w:rtl w:val="0"/>
        </w:rPr>
        <w:t xml:space="preserve">Versorgungsgeschwindigkeit.</w:t>
      </w:r>
      <w:r w:rsidDel="00000000" w:rsidR="00000000" w:rsidRPr="00000000">
        <w:rPr>
          <w:rtl w:val="0"/>
        </w:rPr>
      </w:r>
    </w:p>
    <w:p w:rsidR="00000000" w:rsidDel="00000000" w:rsidP="00000000" w:rsidRDefault="00000000" w:rsidRPr="00000000" w14:paraId="00000067">
      <w:pPr>
        <w:numPr>
          <w:ilvl w:val="0"/>
          <w:numId w:val="12"/>
        </w:numPr>
        <w:spacing w:after="100" w:before="240" w:lineRule="auto"/>
        <w:ind w:left="450" w:hanging="360"/>
      </w:pPr>
      <w:r w:rsidDel="00000000" w:rsidR="00000000" w:rsidRPr="00000000">
        <w:rPr>
          <w:b w:val="1"/>
          <w:rtl w:val="0"/>
        </w:rPr>
        <w:t xml:space="preserve">Reduktion administrativer Last</w:t>
        <w:br w:type="textWrapping"/>
      </w:r>
      <w:r w:rsidDel="00000000" w:rsidR="00000000" w:rsidRPr="00000000">
        <w:rPr>
          <w:rtl w:val="0"/>
        </w:rPr>
        <w:t xml:space="preserve">  z. B. „Seitenanzahl auf Formularen“</w:t>
        <w:br w:type="textWrapping"/>
        <w:t xml:space="preserve"> </w:t>
      </w:r>
      <w:r w:rsidDel="00000000" w:rsidR="00000000" w:rsidRPr="00000000">
        <w:rPr>
          <w:rFonts w:ascii="Arial Unicode MS" w:cs="Arial Unicode MS" w:eastAsia="Arial Unicode MS" w:hAnsi="Arial Unicode MS"/>
          <w:i w:val="1"/>
          <w:rtl w:val="0"/>
        </w:rPr>
        <w:t xml:space="preserve"> → Benötigt keine Erklärung</w:t>
      </w:r>
    </w:p>
    <w:p w:rsidR="00000000" w:rsidDel="00000000" w:rsidP="00000000" w:rsidRDefault="00000000" w:rsidRPr="00000000" w14:paraId="00000068">
      <w:pPr>
        <w:numPr>
          <w:ilvl w:val="0"/>
          <w:numId w:val="12"/>
        </w:numPr>
        <w:spacing w:after="100" w:before="240" w:lineRule="auto"/>
        <w:ind w:left="450" w:hanging="360"/>
      </w:pPr>
      <w:r w:rsidDel="00000000" w:rsidR="00000000" w:rsidRPr="00000000">
        <w:rPr>
          <w:b w:val="1"/>
          <w:rtl w:val="0"/>
        </w:rPr>
        <w:t xml:space="preserve">Verständlichkeit von Informationen</w:t>
        <w:br w:type="textWrapping"/>
      </w:r>
      <w:r w:rsidDel="00000000" w:rsidR="00000000" w:rsidRPr="00000000">
        <w:rPr>
          <w:rtl w:val="0"/>
        </w:rPr>
        <w:t xml:space="preserve">  z. B. „Flesch-Index von Aufklärungs­materialien“</w:t>
        <w:br w:type="textWrapping"/>
      </w:r>
      <w:r w:rsidDel="00000000" w:rsidR="00000000" w:rsidRPr="00000000">
        <w:rPr>
          <w:rFonts w:ascii="Arial Unicode MS" w:cs="Arial Unicode MS" w:eastAsia="Arial Unicode MS" w:hAnsi="Arial Unicode MS"/>
          <w:i w:val="1"/>
          <w:rtl w:val="0"/>
        </w:rPr>
        <w:t xml:space="preserve">  → Erfasst, wie barrierefrei Inhalte gestaltet sind.</w:t>
      </w:r>
    </w:p>
    <w:p w:rsidR="00000000" w:rsidDel="00000000" w:rsidP="00000000" w:rsidRDefault="00000000" w:rsidRPr="00000000" w14:paraId="00000069">
      <w:pPr>
        <w:numPr>
          <w:ilvl w:val="0"/>
          <w:numId w:val="12"/>
        </w:numPr>
        <w:spacing w:after="100" w:before="240" w:lineRule="auto"/>
        <w:ind w:left="450" w:hanging="360"/>
      </w:pPr>
      <w:r w:rsidDel="00000000" w:rsidR="00000000" w:rsidRPr="00000000">
        <w:rPr>
          <w:b w:val="1"/>
          <w:rtl w:val="0"/>
        </w:rPr>
        <w:t xml:space="preserve">Selbstwirksamkeit im Alltag</w:t>
        <w:br w:type="textWrapping"/>
      </w:r>
      <w:r w:rsidDel="00000000" w:rsidR="00000000" w:rsidRPr="00000000">
        <w:rPr>
          <w:rtl w:val="0"/>
        </w:rPr>
        <w:t xml:space="preserve">  z. B. „Selbsteinschätzung: ‚Ich kann etwas bewirken‘ (Skala 1–10)“</w:t>
        <w:br w:type="textWrapping"/>
      </w:r>
      <w:r w:rsidDel="00000000" w:rsidR="00000000" w:rsidRPr="00000000">
        <w:rPr>
          <w:rFonts w:ascii="Arial Unicode MS" w:cs="Arial Unicode MS" w:eastAsia="Arial Unicode MS" w:hAnsi="Arial Unicode MS"/>
          <w:i w:val="1"/>
          <w:rtl w:val="0"/>
        </w:rPr>
        <w:t xml:space="preserve">  → Zeigt, ob ein Projekt innere Handlungssicherheit erzeugt.</w:t>
      </w:r>
    </w:p>
    <w:p w:rsidR="00000000" w:rsidDel="00000000" w:rsidP="00000000" w:rsidRDefault="00000000" w:rsidRPr="00000000" w14:paraId="0000006A">
      <w:pPr>
        <w:numPr>
          <w:ilvl w:val="0"/>
          <w:numId w:val="12"/>
        </w:numPr>
        <w:spacing w:after="100" w:before="240" w:lineRule="auto"/>
        <w:ind w:left="450" w:hanging="360"/>
      </w:pPr>
      <w:r w:rsidDel="00000000" w:rsidR="00000000" w:rsidRPr="00000000">
        <w:rPr>
          <w:b w:val="1"/>
          <w:rtl w:val="0"/>
        </w:rPr>
        <w:t xml:space="preserve">Zugänglichkeit öffentlicher Stellen</w:t>
        <w:br w:type="textWrapping"/>
      </w:r>
      <w:r w:rsidDel="00000000" w:rsidR="00000000" w:rsidRPr="00000000">
        <w:rPr>
          <w:rtl w:val="0"/>
        </w:rPr>
        <w:t xml:space="preserve">  z. B. „Anteil erreichbarer Anlaufstellen außerhalb der Kernzeit“</w:t>
        <w:br w:type="textWrapping"/>
      </w:r>
      <w:r w:rsidDel="00000000" w:rsidR="00000000" w:rsidRPr="00000000">
        <w:rPr>
          <w:rFonts w:ascii="Arial Unicode MS" w:cs="Arial Unicode MS" w:eastAsia="Arial Unicode MS" w:hAnsi="Arial Unicode MS"/>
          <w:i w:val="1"/>
          <w:rtl w:val="0"/>
        </w:rPr>
        <w:t xml:space="preserve">  → Misst strukturelle Inklusion und Barriereabbau.</w:t>
      </w:r>
    </w:p>
    <w:p w:rsidR="00000000" w:rsidDel="00000000" w:rsidP="00000000" w:rsidRDefault="00000000" w:rsidRPr="00000000" w14:paraId="0000006B">
      <w:pPr>
        <w:numPr>
          <w:ilvl w:val="0"/>
          <w:numId w:val="12"/>
        </w:numPr>
        <w:spacing w:after="100" w:before="240" w:lineRule="auto"/>
        <w:ind w:left="450" w:hanging="360"/>
      </w:pPr>
      <w:r w:rsidDel="00000000" w:rsidR="00000000" w:rsidRPr="00000000">
        <w:rPr>
          <w:b w:val="1"/>
          <w:rtl w:val="0"/>
        </w:rPr>
        <w:t xml:space="preserve">Stabilität langfristiger Wirkung</w:t>
        <w:br w:type="textWrapping"/>
      </w:r>
      <w:r w:rsidDel="00000000" w:rsidR="00000000" w:rsidRPr="00000000">
        <w:rPr>
          <w:rtl w:val="0"/>
        </w:rPr>
        <w:t xml:space="preserve">  z. B. </w:t>
      </w:r>
      <w:r w:rsidDel="00000000" w:rsidR="00000000" w:rsidRPr="00000000">
        <w:rPr>
          <w:rtl w:val="0"/>
        </w:rPr>
        <w:t xml:space="preserve">„Wirkungsbeibehaltung</w:t>
      </w:r>
      <w:r w:rsidDel="00000000" w:rsidR="00000000" w:rsidRPr="00000000">
        <w:rPr>
          <w:rtl w:val="0"/>
        </w:rPr>
        <w:t xml:space="preserve"> nach 6 Monaten“</w:t>
        <w:br w:type="textWrapping"/>
      </w:r>
      <w:r w:rsidDel="00000000" w:rsidR="00000000" w:rsidRPr="00000000">
        <w:rPr>
          <w:rFonts w:ascii="Arial Unicode MS" w:cs="Arial Unicode MS" w:eastAsia="Arial Unicode MS" w:hAnsi="Arial Unicode MS"/>
          <w:i w:val="1"/>
          <w:rtl w:val="0"/>
        </w:rPr>
        <w:t xml:space="preserve">  → Zeigt, ob ein Effekt bleibt oder nur kurzfristig wirkt.</w:t>
      </w:r>
    </w:p>
    <w:p w:rsidR="00000000" w:rsidDel="00000000" w:rsidP="00000000" w:rsidRDefault="00000000" w:rsidRPr="00000000" w14:paraId="0000006C">
      <w:pPr>
        <w:numPr>
          <w:ilvl w:val="0"/>
          <w:numId w:val="12"/>
        </w:numPr>
        <w:spacing w:after="100" w:before="240" w:lineRule="auto"/>
        <w:ind w:left="450" w:hanging="360"/>
      </w:pPr>
      <w:r w:rsidDel="00000000" w:rsidR="00000000" w:rsidRPr="00000000">
        <w:rPr>
          <w:b w:val="1"/>
          <w:rtl w:val="0"/>
        </w:rPr>
        <w:t xml:space="preserve">Technisch-ökologische Effizienz</w:t>
        <w:br w:type="textWrapping"/>
      </w:r>
      <w:r w:rsidDel="00000000" w:rsidR="00000000" w:rsidRPr="00000000">
        <w:rPr>
          <w:rtl w:val="0"/>
        </w:rPr>
        <w:t xml:space="preserve">  z. B. „Stromverbrauch vorher/nachher bei neuer Lösung“</w:t>
        <w:br w:type="textWrapping"/>
      </w:r>
      <w:r w:rsidDel="00000000" w:rsidR="00000000" w:rsidRPr="00000000">
        <w:rPr>
          <w:rFonts w:ascii="Arial Unicode MS" w:cs="Arial Unicode MS" w:eastAsia="Arial Unicode MS" w:hAnsi="Arial Unicode MS"/>
          <w:i w:val="1"/>
          <w:rtl w:val="0"/>
        </w:rPr>
        <w:t xml:space="preserve">  → Nutzt technische Kennzahlen, um Wirkung zu erfassen.</w:t>
      </w:r>
    </w:p>
    <w:p w:rsidR="00000000" w:rsidDel="00000000" w:rsidP="00000000" w:rsidRDefault="00000000" w:rsidRPr="00000000" w14:paraId="0000006D">
      <w:pPr>
        <w:numPr>
          <w:ilvl w:val="0"/>
          <w:numId w:val="12"/>
        </w:numPr>
        <w:spacing w:after="100" w:before="240" w:lineRule="auto"/>
        <w:ind w:left="450" w:hanging="360"/>
      </w:pPr>
      <w:r w:rsidDel="00000000" w:rsidR="00000000" w:rsidRPr="00000000">
        <w:rPr>
          <w:b w:val="1"/>
          <w:rtl w:val="0"/>
        </w:rPr>
        <w:t xml:space="preserve">Reintegration stiller Potenziale</w:t>
        <w:br w:type="textWrapping"/>
      </w:r>
      <w:r w:rsidDel="00000000" w:rsidR="00000000" w:rsidRPr="00000000">
        <w:rPr>
          <w:rtl w:val="0"/>
        </w:rPr>
        <w:t xml:space="preserve"> z. B. „Anzahl Personen, die nach Unterstützung wieder Arbeit, Bildung oder  Alltagsstruktur aufnehmen“</w:t>
        <w:br w:type="textWrapping"/>
        <w:t xml:space="preserve"> </w:t>
      </w:r>
      <w:r w:rsidDel="00000000" w:rsidR="00000000" w:rsidRPr="00000000">
        <w:rPr>
          <w:rFonts w:ascii="Arial Unicode MS" w:cs="Arial Unicode MS" w:eastAsia="Arial Unicode MS" w:hAnsi="Arial Unicode MS"/>
          <w:i w:val="1"/>
          <w:rtl w:val="0"/>
        </w:rPr>
        <w:t xml:space="preserve">→ Misst, ob Projekte Menschen stabil zurück ins Leben bringen – besonders bei </w:t>
      </w:r>
      <w:r w:rsidDel="00000000" w:rsidR="00000000" w:rsidRPr="00000000">
        <w:rPr>
          <w:rtl w:val="0"/>
        </w:rPr>
        <w:t xml:space="preserve"> </w:t>
      </w:r>
      <w:r w:rsidDel="00000000" w:rsidR="00000000" w:rsidRPr="00000000">
        <w:rPr>
          <w:i w:val="1"/>
          <w:rtl w:val="0"/>
        </w:rPr>
        <w:t xml:space="preserve">vorheriger Unsichtbarkeit durch psychische oder strukturelle Überlastung.</w:t>
      </w:r>
    </w:p>
    <w:p w:rsidR="00000000" w:rsidDel="00000000" w:rsidP="00000000" w:rsidRDefault="00000000" w:rsidRPr="00000000" w14:paraId="0000006E">
      <w:pPr>
        <w:numPr>
          <w:ilvl w:val="0"/>
          <w:numId w:val="12"/>
        </w:numPr>
        <w:spacing w:after="100" w:before="240" w:lineRule="auto"/>
        <w:ind w:left="450" w:hanging="360"/>
      </w:pPr>
      <w:r w:rsidDel="00000000" w:rsidR="00000000" w:rsidRPr="00000000">
        <w:rPr>
          <w:b w:val="1"/>
          <w:rtl w:val="0"/>
        </w:rPr>
        <w:t xml:space="preserve">Soziale Anschlussfähigkeit</w:t>
        <w:br w:type="textWrapping"/>
      </w:r>
      <w:r w:rsidDel="00000000" w:rsidR="00000000" w:rsidRPr="00000000">
        <w:rPr>
          <w:rtl w:val="0"/>
        </w:rPr>
        <w:t xml:space="preserve">  z. B. „Wahrgenommene Zugehörigkeit (Skala) vor und nach Teilnahme“</w:t>
        <w:br w:type="textWrapping"/>
      </w:r>
      <w:r w:rsidDel="00000000" w:rsidR="00000000" w:rsidRPr="00000000">
        <w:rPr>
          <w:rFonts w:ascii="Arial Unicode MS" w:cs="Arial Unicode MS" w:eastAsia="Arial Unicode MS" w:hAnsi="Arial Unicode MS"/>
          <w:i w:val="1"/>
          <w:rtl w:val="0"/>
        </w:rPr>
        <w:t xml:space="preserve">  → Zeigt, ob Projekte Isolation verringern und Integration fördern.</w:t>
      </w:r>
    </w:p>
    <w:p w:rsidR="00000000" w:rsidDel="00000000" w:rsidP="00000000" w:rsidRDefault="00000000" w:rsidRPr="00000000" w14:paraId="0000006F">
      <w:pPr>
        <w:numPr>
          <w:ilvl w:val="0"/>
          <w:numId w:val="12"/>
        </w:numPr>
        <w:spacing w:after="100" w:before="240" w:lineRule="auto"/>
        <w:ind w:left="450" w:hanging="360"/>
      </w:pPr>
      <w:r w:rsidDel="00000000" w:rsidR="00000000" w:rsidRPr="00000000">
        <w:rPr>
          <w:b w:val="1"/>
          <w:rtl w:val="0"/>
        </w:rPr>
        <w:t xml:space="preserve">Kollaborationsresonanz</w:t>
      </w:r>
      <w:r w:rsidDel="00000000" w:rsidR="00000000" w:rsidRPr="00000000">
        <w:rPr>
          <w:b w:val="1"/>
          <w:rtl w:val="0"/>
        </w:rPr>
        <w:br w:type="textWrapping"/>
      </w:r>
      <w:r w:rsidDel="00000000" w:rsidR="00000000" w:rsidRPr="00000000">
        <w:rPr>
          <w:rtl w:val="0"/>
        </w:rPr>
        <w:t xml:space="preserve">z. B. „Dauer, Qualität und freiwillige Wiederholung von Kooperationen“</w:t>
        <w:br w:type="textWrapping"/>
      </w:r>
      <w:r w:rsidDel="00000000" w:rsidR="00000000" w:rsidRPr="00000000">
        <w:rPr>
          <w:rFonts w:ascii="Arial Unicode MS" w:cs="Arial Unicode MS" w:eastAsia="Arial Unicode MS" w:hAnsi="Arial Unicode MS"/>
          <w:i w:val="1"/>
          <w:rtl w:val="0"/>
        </w:rPr>
        <w:t xml:space="preserve">→ Bewertet Wirkung auf das Umfeld durch messbare Beziehungspflege.</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Wirkung ist messbar, sobald zwei Werte vergleichbar gegenüberstehen – vor und nach der Handlung. Alles Weitere folgt aus der Differenz.</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a4ilyfb4537p" w:id="17"/>
      <w:bookmarkEnd w:id="17"/>
      <w:r w:rsidDel="00000000" w:rsidR="00000000" w:rsidRPr="00000000">
        <w:rPr>
          <w:b w:val="1"/>
          <w:color w:val="000000"/>
          <w:sz w:val="22"/>
          <w:szCs w:val="22"/>
          <w:rtl w:val="0"/>
        </w:rPr>
        <w:t xml:space="preserve">Impact Units</w:t>
      </w:r>
    </w:p>
    <w:p w:rsidR="00000000" w:rsidDel="00000000" w:rsidP="00000000" w:rsidRDefault="00000000" w:rsidRPr="00000000" w14:paraId="00000073">
      <w:pPr>
        <w:spacing w:after="240" w:before="240" w:lineRule="auto"/>
        <w:rPr>
          <w:i w:val="1"/>
          <w:sz w:val="20"/>
          <w:szCs w:val="20"/>
        </w:rPr>
      </w:pPr>
      <w:r w:rsidDel="00000000" w:rsidR="00000000" w:rsidRPr="00000000">
        <w:rPr>
          <w:b w:val="1"/>
          <w:rtl w:val="0"/>
        </w:rPr>
        <w:t xml:space="preserve">1) Efficiency-Impact-Unit (EIU)</w:t>
        <w:br w:type="textWrapping"/>
      </w:r>
      <w:r w:rsidDel="00000000" w:rsidR="00000000" w:rsidRPr="00000000">
        <w:rPr>
          <w:rtl w:val="0"/>
        </w:rPr>
        <w:t xml:space="preserve">  Zeigt, wie viel Prozent Verbesserung pro eingesetzter Personen-Woche erzielt wurde.</w:t>
        <w:br w:type="textWrapping"/>
        <w:t xml:space="preserve">  </w:t>
      </w:r>
      <w:r w:rsidDel="00000000" w:rsidR="00000000" w:rsidRPr="00000000">
        <w:rPr>
          <w:i w:val="1"/>
          <w:sz w:val="20"/>
          <w:szCs w:val="20"/>
          <w:rtl w:val="0"/>
        </w:rPr>
        <w:t xml:space="preserve">Formel:</w:t>
      </w:r>
      <w:r w:rsidDel="00000000" w:rsidR="00000000" w:rsidRPr="00000000">
        <w:rPr>
          <w:rtl w:val="0"/>
        </w:rPr>
        <w:br w:type="textWrapping"/>
        <w:t xml:space="preserve">    </w:t>
      </w:r>
      <w:r w:rsidDel="00000000" w:rsidR="00000000" w:rsidRPr="00000000">
        <w:rPr>
          <w:shd w:fill="efefef" w:val="clear"/>
          <w:rtl w:val="0"/>
        </w:rPr>
        <w:t xml:space="preserve">EIU = (Δ % ÷ Personen × Wochen) × Confidence-Factor</w:t>
      </w:r>
      <w:r w:rsidDel="00000000" w:rsidR="00000000" w:rsidRPr="00000000">
        <w:rPr>
          <w:rtl w:val="0"/>
        </w:rPr>
        <w:br w:type="textWrapping"/>
      </w:r>
      <w:r w:rsidDel="00000000" w:rsidR="00000000" w:rsidRPr="00000000">
        <w:rPr>
          <w:sz w:val="20"/>
          <w:szCs w:val="20"/>
          <w:rtl w:val="0"/>
        </w:rPr>
        <w:t xml:space="preserve">          </w:t>
      </w:r>
      <w:r w:rsidDel="00000000" w:rsidR="00000000" w:rsidRPr="00000000">
        <w:rPr>
          <w:i w:val="1"/>
          <w:sz w:val="20"/>
          <w:szCs w:val="20"/>
          <w:rtl w:val="0"/>
        </w:rPr>
        <w:t xml:space="preserve">(subtrahiert allgemeine Kopfschmerzen)</w:t>
      </w:r>
    </w:p>
    <w:p w:rsidR="00000000" w:rsidDel="00000000" w:rsidP="00000000" w:rsidRDefault="00000000" w:rsidRPr="00000000" w14:paraId="00000074">
      <w:pPr>
        <w:spacing w:after="240" w:before="240" w:lineRule="auto"/>
        <w:rPr>
          <w:shd w:fill="efefef" w:val="clear"/>
        </w:rPr>
      </w:pPr>
      <w:r w:rsidDel="00000000" w:rsidR="00000000" w:rsidRPr="00000000">
        <w:rPr>
          <w:b w:val="1"/>
          <w:rtl w:val="0"/>
        </w:rPr>
        <w:t xml:space="preserve">2) Net-Impact-Unit (NIU)</w:t>
        <w:br w:type="textWrapping"/>
      </w:r>
      <w:r w:rsidDel="00000000" w:rsidR="00000000" w:rsidRPr="00000000">
        <w:rPr>
          <w:rtl w:val="0"/>
        </w:rPr>
        <w:t xml:space="preserve">  Zeigt das Gesamtvolumen der erreichten Wirkung in der betroffenen Zielgruppe.</w:t>
        <w:br w:type="textWrapping"/>
      </w:r>
      <w:r w:rsidDel="00000000" w:rsidR="00000000" w:rsidRPr="00000000">
        <w:rPr>
          <w:sz w:val="20"/>
          <w:szCs w:val="20"/>
          <w:rtl w:val="0"/>
        </w:rPr>
        <w:t xml:space="preserve">  </w:t>
      </w:r>
      <w:r w:rsidDel="00000000" w:rsidR="00000000" w:rsidRPr="00000000">
        <w:rPr>
          <w:i w:val="1"/>
          <w:sz w:val="20"/>
          <w:szCs w:val="20"/>
          <w:rtl w:val="0"/>
        </w:rPr>
        <w:t xml:space="preserve">Formel:</w:t>
      </w:r>
      <w:r w:rsidDel="00000000" w:rsidR="00000000" w:rsidRPr="00000000">
        <w:rPr>
          <w:rtl w:val="0"/>
        </w:rPr>
        <w:br w:type="textWrapping"/>
        <w:t xml:space="preserve">    </w:t>
      </w:r>
      <w:r w:rsidDel="00000000" w:rsidR="00000000" w:rsidRPr="00000000">
        <w:rPr>
          <w:shd w:fill="efefef" w:val="clear"/>
          <w:rtl w:val="0"/>
        </w:rPr>
        <w:t xml:space="preserve">NIU = Δ % × Zahl der direkt Begünstigten × Confidence-Factor</w:t>
      </w:r>
    </w:p>
    <w:p w:rsidR="00000000" w:rsidDel="00000000" w:rsidP="00000000" w:rsidRDefault="00000000" w:rsidRPr="00000000" w14:paraId="00000075">
      <w:pPr>
        <w:spacing w:after="240" w:before="240" w:lineRule="auto"/>
        <w:rPr>
          <w:shd w:fill="efefef" w:val="clear"/>
        </w:rPr>
      </w:pPr>
      <w:r w:rsidDel="00000000" w:rsidR="00000000" w:rsidRPr="00000000">
        <w:rPr>
          <w:b w:val="1"/>
          <w:rtl w:val="0"/>
        </w:rPr>
        <w:t xml:space="preserve">3) Negative-Impact-Unit (–IU)</w:t>
        <w:br w:type="textWrapping"/>
      </w:r>
      <w:r w:rsidDel="00000000" w:rsidR="00000000" w:rsidRPr="00000000">
        <w:rPr>
          <w:rtl w:val="0"/>
        </w:rPr>
        <w:t xml:space="preserve">  Zeigt das Ausmaß dokumentierter negativer Effekte innerhalb oder außerhalb der Zielgruppe.</w:t>
        <w:br w:type="textWrapping"/>
        <w:t xml:space="preserve"> </w:t>
      </w:r>
      <w:r w:rsidDel="00000000" w:rsidR="00000000" w:rsidRPr="00000000">
        <w:rPr>
          <w:sz w:val="20"/>
          <w:szCs w:val="20"/>
          <w:rtl w:val="0"/>
        </w:rPr>
        <w:t xml:space="preserve"> </w:t>
      </w:r>
      <w:r w:rsidDel="00000000" w:rsidR="00000000" w:rsidRPr="00000000">
        <w:rPr>
          <w:i w:val="1"/>
          <w:sz w:val="20"/>
          <w:szCs w:val="20"/>
          <w:rtl w:val="0"/>
        </w:rPr>
        <w:t xml:space="preserve">Formel:</w:t>
      </w:r>
      <w:r w:rsidDel="00000000" w:rsidR="00000000" w:rsidRPr="00000000">
        <w:rPr>
          <w:rtl w:val="0"/>
        </w:rPr>
        <w:br w:type="textWrapping"/>
        <w:t xml:space="preserve">    </w:t>
      </w:r>
      <w:r w:rsidDel="00000000" w:rsidR="00000000" w:rsidRPr="00000000">
        <w:rPr>
          <w:shd w:fill="efefef" w:val="clear"/>
          <w:rtl w:val="0"/>
        </w:rPr>
        <w:t xml:space="preserve">-IU = Δ % × Zahl der negativ Betroffenen × Confidence-Factor × Severity-Factor</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gwbzrawyfo6x" w:id="18"/>
      <w:bookmarkEnd w:id="18"/>
      <w:r w:rsidDel="00000000" w:rsidR="00000000" w:rsidRPr="00000000">
        <w:rPr>
          <w:b w:val="1"/>
          <w:color w:val="000000"/>
          <w:sz w:val="22"/>
          <w:szCs w:val="22"/>
          <w:rtl w:val="0"/>
        </w:rPr>
        <w:br w:type="textWrapping"/>
        <w:t xml:space="preserve">Definitionen</w:t>
      </w:r>
    </w:p>
    <w:p w:rsidR="00000000" w:rsidDel="00000000" w:rsidP="00000000" w:rsidRDefault="00000000" w:rsidRPr="00000000" w14:paraId="00000077">
      <w:pPr>
        <w:numPr>
          <w:ilvl w:val="0"/>
          <w:numId w:val="7"/>
        </w:numPr>
        <w:spacing w:after="100" w:before="240" w:lineRule="auto"/>
        <w:ind w:left="450" w:hanging="360"/>
      </w:pPr>
      <w:r w:rsidDel="00000000" w:rsidR="00000000" w:rsidRPr="00000000">
        <w:rPr>
          <w:b w:val="1"/>
          <w:rtl w:val="0"/>
        </w:rPr>
        <w:t xml:space="preserve">Δ %</w:t>
      </w:r>
      <w:r w:rsidDel="00000000" w:rsidR="00000000" w:rsidRPr="00000000">
        <w:rPr>
          <w:rtl w:val="0"/>
        </w:rPr>
        <w:t xml:space="preserve">: gemessene relative Verbesserung eines klar definierten Basiswerts</w:t>
      </w:r>
    </w:p>
    <w:p w:rsidR="00000000" w:rsidDel="00000000" w:rsidP="00000000" w:rsidRDefault="00000000" w:rsidRPr="00000000" w14:paraId="00000078">
      <w:pPr>
        <w:numPr>
          <w:ilvl w:val="0"/>
          <w:numId w:val="7"/>
        </w:numPr>
        <w:spacing w:after="100" w:before="240" w:lineRule="auto"/>
        <w:ind w:left="450" w:hanging="360"/>
      </w:pPr>
      <w:r w:rsidDel="00000000" w:rsidR="00000000" w:rsidRPr="00000000">
        <w:rPr>
          <w:b w:val="1"/>
          <w:rtl w:val="0"/>
        </w:rPr>
        <w:t xml:space="preserve">Personen × Wochen</w:t>
      </w:r>
      <w:r w:rsidDel="00000000" w:rsidR="00000000" w:rsidRPr="00000000">
        <w:rPr>
          <w:rtl w:val="0"/>
        </w:rPr>
        <w:t xml:space="preserve">: dokumentierter Team-Aufwand</w:t>
      </w:r>
    </w:p>
    <w:p w:rsidR="00000000" w:rsidDel="00000000" w:rsidP="00000000" w:rsidRDefault="00000000" w:rsidRPr="00000000" w14:paraId="00000079">
      <w:pPr>
        <w:numPr>
          <w:ilvl w:val="0"/>
          <w:numId w:val="7"/>
        </w:numPr>
        <w:spacing w:after="100" w:before="240" w:lineRule="auto"/>
        <w:ind w:left="450" w:hanging="360"/>
      </w:pPr>
      <w:r w:rsidDel="00000000" w:rsidR="00000000" w:rsidRPr="00000000">
        <w:rPr>
          <w:b w:val="1"/>
          <w:rtl w:val="0"/>
        </w:rPr>
        <w:t xml:space="preserve">Confidence-Factor (CF)</w:t>
      </w:r>
      <w:r w:rsidDel="00000000" w:rsidR="00000000" w:rsidRPr="00000000">
        <w:rPr>
          <w:rtl w:val="0"/>
        </w:rPr>
        <w:t xml:space="preserve">: Bewertung der Messqualität</w:t>
        <w:br w:type="textWrapping"/>
        <w:t xml:space="preserve">  </w:t>
      </w:r>
      <w:r w:rsidDel="00000000" w:rsidR="00000000" w:rsidRPr="00000000">
        <w:rPr>
          <w:shd w:fill="efefef" w:val="clear"/>
          <w:rtl w:val="0"/>
        </w:rPr>
        <w:t xml:space="preserve">A = 1.0 | B = 0.8 | C = 0.6 | D = 0.4 | E = 0.2</w:t>
      </w:r>
    </w:p>
    <w:p w:rsidR="00000000" w:rsidDel="00000000" w:rsidP="00000000" w:rsidRDefault="00000000" w:rsidRPr="00000000" w14:paraId="0000007A">
      <w:pPr>
        <w:numPr>
          <w:ilvl w:val="0"/>
          <w:numId w:val="7"/>
        </w:numPr>
        <w:spacing w:after="100" w:before="240" w:lineRule="auto"/>
        <w:ind w:left="450" w:hanging="360"/>
      </w:pPr>
      <w:r w:rsidDel="00000000" w:rsidR="00000000" w:rsidRPr="00000000">
        <w:rPr>
          <w:b w:val="1"/>
          <w:rtl w:val="0"/>
        </w:rPr>
        <w:t xml:space="preserve">Severity-Factor (SF)</w:t>
      </w:r>
      <w:r w:rsidDel="00000000" w:rsidR="00000000" w:rsidRPr="00000000">
        <w:rPr>
          <w:rtl w:val="0"/>
        </w:rPr>
        <w:t xml:space="preserve">: Gewichtung der </w:t>
      </w:r>
      <w:r w:rsidDel="00000000" w:rsidR="00000000" w:rsidRPr="00000000">
        <w:rPr>
          <w:rtl w:val="0"/>
        </w:rPr>
        <w:t xml:space="preserve">Negativwirkung</w:t>
      </w:r>
      <w:r w:rsidDel="00000000" w:rsidR="00000000" w:rsidRPr="00000000">
        <w:rPr>
          <w:rtl w:val="0"/>
        </w:rPr>
        <w:br w:type="textWrapping"/>
        <w:t xml:space="preserve">  </w:t>
      </w:r>
      <w:r w:rsidDel="00000000" w:rsidR="00000000" w:rsidRPr="00000000">
        <w:rPr>
          <w:shd w:fill="efefef" w:val="clear"/>
          <w:rtl w:val="0"/>
        </w:rPr>
        <w:t xml:space="preserve">A = 3.0 | B = 2.0 | C = 1.5 | D = 1.2 | E = 1.0</w:t>
      </w:r>
    </w:p>
    <w:p w:rsidR="00000000" w:rsidDel="00000000" w:rsidP="00000000" w:rsidRDefault="00000000" w:rsidRPr="00000000" w14:paraId="0000007B">
      <w:pPr>
        <w:spacing w:after="200" w:before="240" w:lineRule="auto"/>
        <w:ind w:left="0" w:firstLine="0"/>
        <w:rPr/>
      </w:pPr>
      <w:r w:rsidDel="00000000" w:rsidR="00000000" w:rsidRPr="00000000">
        <w:rPr>
          <w:rtl w:val="0"/>
        </w:rPr>
        <w:br w:type="textWrapping"/>
      </w:r>
      <w:r w:rsidDel="00000000" w:rsidR="00000000" w:rsidRPr="00000000">
        <w:rPr>
          <w:b w:val="1"/>
          <w:color w:val="000000"/>
          <w:sz w:val="22"/>
          <w:szCs w:val="22"/>
          <w:rtl w:val="0"/>
        </w:rPr>
        <w:t xml:space="preserve">Hinweise</w:t>
      </w:r>
      <w:r w:rsidDel="00000000" w:rsidR="00000000" w:rsidRPr="00000000">
        <w:rPr>
          <w:rtl w:val="0"/>
        </w:rPr>
      </w:r>
    </w:p>
    <w:p w:rsidR="00000000" w:rsidDel="00000000" w:rsidP="00000000" w:rsidRDefault="00000000" w:rsidRPr="00000000" w14:paraId="0000007C">
      <w:pPr>
        <w:numPr>
          <w:ilvl w:val="0"/>
          <w:numId w:val="9"/>
        </w:numPr>
        <w:spacing w:after="0" w:afterAutospacing="0" w:before="0" w:line="360" w:lineRule="auto"/>
        <w:ind w:left="450" w:hanging="360"/>
      </w:pPr>
      <w:r w:rsidDel="00000000" w:rsidR="00000000" w:rsidRPr="00000000">
        <w:rPr>
          <w:rtl w:val="0"/>
        </w:rPr>
        <w:t xml:space="preserve">Für Langzeitprojekte </w:t>
      </w:r>
      <w:r w:rsidDel="00000000" w:rsidR="00000000" w:rsidRPr="00000000">
        <w:rPr>
          <w:rtl w:val="0"/>
        </w:rPr>
        <w:t xml:space="preserve">kann NIU</w:t>
      </w:r>
      <w:r w:rsidDel="00000000" w:rsidR="00000000" w:rsidRPr="00000000">
        <w:rPr>
          <w:rtl w:val="0"/>
        </w:rPr>
        <w:t xml:space="preserve"> </w:t>
      </w:r>
      <w:r w:rsidDel="00000000" w:rsidR="00000000" w:rsidRPr="00000000">
        <w:rPr>
          <w:rtl w:val="0"/>
        </w:rPr>
        <w:t xml:space="preserve">mit Wirkungsdauer</w:t>
      </w:r>
      <w:r w:rsidDel="00000000" w:rsidR="00000000" w:rsidRPr="00000000">
        <w:rPr>
          <w:rtl w:val="0"/>
        </w:rPr>
        <w:t xml:space="preserve"> (in Monaten) multipliziert werden.</w:t>
      </w:r>
    </w:p>
    <w:p w:rsidR="00000000" w:rsidDel="00000000" w:rsidP="00000000" w:rsidRDefault="00000000" w:rsidRPr="00000000" w14:paraId="0000007D">
      <w:pPr>
        <w:numPr>
          <w:ilvl w:val="0"/>
          <w:numId w:val="9"/>
        </w:numPr>
        <w:spacing w:after="0" w:afterAutospacing="0" w:before="0" w:beforeAutospacing="0" w:line="360" w:lineRule="auto"/>
        <w:ind w:left="450" w:hanging="360"/>
        <w:rPr>
          <w:u w:val="none"/>
        </w:rPr>
      </w:pPr>
      <w:r w:rsidDel="00000000" w:rsidR="00000000" w:rsidRPr="00000000">
        <w:rPr>
          <w:rtl w:val="0"/>
        </w:rPr>
        <w:t xml:space="preserve">IU-pro-Euro</w:t>
      </w:r>
      <w:r w:rsidDel="00000000" w:rsidR="00000000" w:rsidRPr="00000000">
        <w:rPr>
          <w:rtl w:val="0"/>
        </w:rPr>
        <w:t xml:space="preserve"> ist zulässig als externer Kennwert für Förderstellen.</w:t>
      </w:r>
    </w:p>
    <w:p w:rsidR="00000000" w:rsidDel="00000000" w:rsidP="00000000" w:rsidRDefault="00000000" w:rsidRPr="00000000" w14:paraId="0000007E">
      <w:pPr>
        <w:numPr>
          <w:ilvl w:val="0"/>
          <w:numId w:val="9"/>
        </w:numPr>
        <w:spacing w:after="100" w:before="0" w:beforeAutospacing="0" w:lineRule="auto"/>
        <w:ind w:left="450" w:hanging="360"/>
        <w:rPr>
          <w:u w:val="none"/>
        </w:rPr>
      </w:pPr>
      <w:r w:rsidDel="00000000" w:rsidR="00000000" w:rsidRPr="00000000">
        <w:rPr>
          <w:rtl w:val="0"/>
        </w:rPr>
        <w:t xml:space="preserve">Romantik bleibt skalierbar – wird aber als unsauber gewertet.</w:t>
      </w:r>
    </w:p>
    <w:p w:rsidR="00000000" w:rsidDel="00000000" w:rsidP="00000000" w:rsidRDefault="00000000" w:rsidRPr="00000000" w14:paraId="0000007F">
      <w:pPr>
        <w:pStyle w:val="Heading3"/>
        <w:keepNext w:val="1"/>
        <w:keepLines w:val="0"/>
        <w:spacing w:before="280" w:lineRule="auto"/>
        <w:rPr>
          <w:b w:val="1"/>
          <w:color w:val="000000"/>
          <w:sz w:val="26"/>
          <w:szCs w:val="26"/>
        </w:rPr>
      </w:pPr>
      <w:bookmarkStart w:colFirst="0" w:colLast="0" w:name="_roxc2ku9y13w" w:id="19"/>
      <w:bookmarkEnd w:id="19"/>
      <w:r w:rsidDel="00000000" w:rsidR="00000000" w:rsidRPr="00000000">
        <w:rPr>
          <w:b w:val="1"/>
          <w:color w:val="000000"/>
          <w:sz w:val="26"/>
          <w:szCs w:val="26"/>
          <w:rtl w:val="0"/>
        </w:rPr>
        <w:t xml:space="preserve">2a </w:t>
      </w:r>
      <w:r w:rsidDel="00000000" w:rsidR="00000000" w:rsidRPr="00000000">
        <w:rPr>
          <w:b w:val="1"/>
          <w:color w:val="000000"/>
          <w:sz w:val="26"/>
          <w:szCs w:val="26"/>
          <w:rtl w:val="0"/>
        </w:rPr>
        <w:t xml:space="preserve">Spendenwirkung</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Eine Spende erhält erst dann EIU-/NIU-Wert, wenn mit ihren Mitteln eine nachweisbare Wirkung (Δ %) erzielt wird.</w:t>
      </w:r>
    </w:p>
    <w:p w:rsidR="00000000" w:rsidDel="00000000" w:rsidP="00000000" w:rsidRDefault="00000000" w:rsidRPr="00000000" w14:paraId="00000081">
      <w:pPr>
        <w:spacing w:after="240" w:before="240" w:lineRule="auto"/>
        <w:rPr/>
      </w:pPr>
      <w:r w:rsidDel="00000000" w:rsidR="00000000" w:rsidRPr="00000000">
        <w:rPr>
          <w:b w:val="1"/>
          <w:rtl w:val="0"/>
        </w:rPr>
        <w:t xml:space="preserve">Beispiel:</w:t>
        <w:br w:type="textWrapping"/>
      </w:r>
      <w:r w:rsidDel="00000000" w:rsidR="00000000" w:rsidRPr="00000000">
        <w:rPr>
          <w:rtl w:val="0"/>
        </w:rPr>
        <w:t xml:space="preserve">  Spende: 1 000 €</w:t>
        <w:br w:type="textWrapping"/>
        <w:t xml:space="preserve">  Wirkung: 20 % Verbesserung eines Basiswerts</w:t>
        <w:br w:type="textWrapping"/>
        <w:t xml:space="preserve">  Aufwand: 6 Personen-Wochen</w:t>
        <w:br w:type="textWrapping"/>
        <w:t xml:space="preserve">  Betroffene: 500 Personen</w:t>
        <w:br w:type="textWrapping"/>
        <w:t xml:space="preserve">  CF: 0.8</w:t>
      </w:r>
    </w:p>
    <w:p w:rsidR="00000000" w:rsidDel="00000000" w:rsidP="00000000" w:rsidRDefault="00000000" w:rsidRPr="00000000" w14:paraId="00000082">
      <w:pPr>
        <w:spacing w:after="240" w:before="240" w:lineRule="auto"/>
        <w:rPr>
          <w:i w:val="1"/>
          <w:shd w:fill="efefef" w:val="clear"/>
        </w:rPr>
      </w:pPr>
      <w:r w:rsidDel="00000000" w:rsidR="00000000" w:rsidRPr="00000000">
        <w:rPr>
          <w:i w:val="1"/>
          <w:rtl w:val="0"/>
        </w:rPr>
        <w:t xml:space="preserve">Berechnung:</w:t>
      </w:r>
      <w:r w:rsidDel="00000000" w:rsidR="00000000" w:rsidRPr="00000000">
        <w:rPr>
          <w:rtl w:val="0"/>
        </w:rPr>
        <w:br w:type="textWrapping"/>
      </w:r>
      <w:r w:rsidDel="00000000" w:rsidR="00000000" w:rsidRPr="00000000">
        <w:rPr>
          <w:i w:val="1"/>
          <w:rtl w:val="0"/>
        </w:rPr>
        <w:t xml:space="preserve">  </w:t>
      </w:r>
      <w:r w:rsidDel="00000000" w:rsidR="00000000" w:rsidRPr="00000000">
        <w:rPr>
          <w:i w:val="1"/>
          <w:shd w:fill="efefef" w:val="clear"/>
          <w:rtl w:val="0"/>
        </w:rPr>
        <w:t xml:space="preserve">EIU = (20 ÷ 6) × 0.8 = 2.67</w:t>
      </w:r>
      <w:r w:rsidDel="00000000" w:rsidR="00000000" w:rsidRPr="00000000">
        <w:rPr>
          <w:i w:val="1"/>
          <w:rtl w:val="0"/>
        </w:rPr>
        <w:br w:type="textWrapping"/>
        <w:t xml:space="preserve">  </w:t>
      </w:r>
      <w:r w:rsidDel="00000000" w:rsidR="00000000" w:rsidRPr="00000000">
        <w:rPr>
          <w:i w:val="1"/>
          <w:shd w:fill="efefef" w:val="clear"/>
          <w:rtl w:val="0"/>
        </w:rPr>
        <w:t xml:space="preserve">NIU = 20 × 500 × 0.8 = 8 000</w:t>
      </w:r>
      <w:r w:rsidDel="00000000" w:rsidR="00000000" w:rsidRPr="00000000">
        <w:rPr>
          <w:i w:val="1"/>
          <w:rtl w:val="0"/>
        </w:rPr>
        <w:br w:type="textWrapping"/>
        <w:t xml:space="preserve">  </w:t>
      </w:r>
      <w:r w:rsidDel="00000000" w:rsidR="00000000" w:rsidRPr="00000000">
        <w:rPr>
          <w:i w:val="1"/>
          <w:shd w:fill="efefef" w:val="clear"/>
          <w:rtl w:val="0"/>
        </w:rPr>
        <w:t xml:space="preserve">IU-pro-Euro = 2.67 / 1 000 €   |  NIU-pro-Euro = 8 000 / 1 000 €</w:t>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sq75h1hqyc9d" w:id="20"/>
      <w:bookmarkEnd w:id="20"/>
      <w:r w:rsidDel="00000000" w:rsidR="00000000" w:rsidRPr="00000000">
        <w:rPr>
          <w:b w:val="1"/>
          <w:color w:val="000000"/>
          <w:sz w:val="26"/>
          <w:szCs w:val="26"/>
          <w:rtl w:val="0"/>
        </w:rPr>
        <w:t xml:space="preserve">2b Wirkungssignatur (optional)</w:t>
      </w:r>
    </w:p>
    <w:p w:rsidR="00000000" w:rsidDel="00000000" w:rsidP="00000000" w:rsidRDefault="00000000" w:rsidRPr="00000000" w14:paraId="00000085">
      <w:pPr>
        <w:spacing w:after="240" w:before="240" w:lineRule="auto"/>
        <w:rPr/>
      </w:pPr>
      <w:r w:rsidDel="00000000" w:rsidR="00000000" w:rsidRPr="00000000">
        <w:rPr>
          <w:rtl w:val="0"/>
        </w:rPr>
        <w:t xml:space="preserve">Wenn eine Maßnahme </w:t>
      </w:r>
      <w:r w:rsidDel="00000000" w:rsidR="00000000" w:rsidRPr="00000000">
        <w:rPr>
          <w:b w:val="1"/>
          <w:rtl w:val="0"/>
        </w:rPr>
        <w:t xml:space="preserve">drei oder mehr verschiedene Metrics</w:t>
      </w:r>
      <w:r w:rsidDel="00000000" w:rsidR="00000000" w:rsidRPr="00000000">
        <w:rPr>
          <w:rtl w:val="0"/>
        </w:rPr>
        <w:t xml:space="preserve"> gleichzeitig verbessert und diese </w:t>
      </w:r>
      <w:r w:rsidDel="00000000" w:rsidR="00000000" w:rsidRPr="00000000">
        <w:rPr>
          <w:b w:val="1"/>
          <w:rtl w:val="0"/>
        </w:rPr>
        <w:t xml:space="preserve">kausal zusammenhängen</w:t>
      </w:r>
      <w:r w:rsidDel="00000000" w:rsidR="00000000" w:rsidRPr="00000000">
        <w:rPr>
          <w:rtl w:val="0"/>
        </w:rPr>
        <w:t xml:space="preserve">, kann die Wirkung als </w:t>
      </w:r>
      <w:r w:rsidDel="00000000" w:rsidR="00000000" w:rsidRPr="00000000">
        <w:rPr>
          <w:b w:val="1"/>
          <w:rtl w:val="0"/>
        </w:rPr>
        <w:t xml:space="preserve">Signatur</w:t>
      </w:r>
      <w:r w:rsidDel="00000000" w:rsidR="00000000" w:rsidRPr="00000000">
        <w:rPr>
          <w:rtl w:val="0"/>
        </w:rPr>
        <w:t xml:space="preserve"> zusammengefasst werden.</w:t>
      </w:r>
    </w:p>
    <w:p w:rsidR="00000000" w:rsidDel="00000000" w:rsidP="00000000" w:rsidRDefault="00000000" w:rsidRPr="00000000" w14:paraId="00000086">
      <w:pPr>
        <w:spacing w:after="200" w:before="240" w:lineRule="auto"/>
        <w:rPr>
          <w:b w:val="1"/>
        </w:rPr>
      </w:pPr>
      <w:r w:rsidDel="00000000" w:rsidR="00000000" w:rsidRPr="00000000">
        <w:rPr>
          <w:b w:val="1"/>
          <w:rtl w:val="0"/>
        </w:rPr>
        <w:t xml:space="preserve">IU-Berechnung:</w:t>
      </w:r>
    </w:p>
    <w:p w:rsidR="00000000" w:rsidDel="00000000" w:rsidP="00000000" w:rsidRDefault="00000000" w:rsidRPr="00000000" w14:paraId="00000087">
      <w:pPr>
        <w:spacing w:after="240" w:before="0" w:lineRule="auto"/>
        <w:rPr/>
      </w:pPr>
      <w:r w:rsidDel="00000000" w:rsidR="00000000" w:rsidRPr="00000000">
        <w:rPr>
          <w:rtl w:val="0"/>
        </w:rPr>
        <w:t xml:space="preserve">  – Δ % = gewichteter Durchschnitt der </w:t>
      </w:r>
      <w:r w:rsidDel="00000000" w:rsidR="00000000" w:rsidRPr="00000000">
        <w:rPr>
          <w:rtl w:val="0"/>
        </w:rPr>
        <w:t xml:space="preserve">Einzelwirkungen</w:t>
      </w:r>
      <w:r w:rsidDel="00000000" w:rsidR="00000000" w:rsidRPr="00000000">
        <w:rPr>
          <w:rtl w:val="0"/>
        </w:rPr>
        <w:br w:type="textWrapping"/>
        <w:t xml:space="preserve">  – restliche Formel wie bei EIU/NIU</w:t>
        <w:br w:type="textWrapping"/>
        <w:t xml:space="preserve">  – Vermerk: </w:t>
      </w:r>
      <w:r w:rsidDel="00000000" w:rsidR="00000000" w:rsidRPr="00000000">
        <w:rPr>
          <w:rtl w:val="0"/>
        </w:rPr>
        <w:t xml:space="preserve">„Wirkungssignatur“</w:t>
      </w:r>
      <w:r w:rsidDel="00000000" w:rsidR="00000000" w:rsidRPr="00000000">
        <w:rPr>
          <w:rtl w:val="0"/>
        </w:rPr>
        <w:t xml:space="preserve"> in der Ledger-Zeile</w:t>
      </w:r>
    </w:p>
    <w:p w:rsidR="00000000" w:rsidDel="00000000" w:rsidP="00000000" w:rsidRDefault="00000000" w:rsidRPr="00000000" w14:paraId="00000088">
      <w:pPr>
        <w:spacing w:after="240" w:before="240" w:lineRule="auto"/>
        <w:ind w:left="0" w:right="600" w:firstLine="0"/>
        <w:rPr>
          <w:b w:val="1"/>
        </w:rPr>
      </w:pPr>
      <w:r w:rsidDel="00000000" w:rsidR="00000000" w:rsidRPr="00000000">
        <w:rPr>
          <w:rtl w:val="0"/>
        </w:rPr>
        <w:t xml:space="preserve">Dient der Bündelung komplexer Wirkung – nicht der Aufwertung einzelner Effekte.</w:t>
      </w:r>
      <w:r w:rsidDel="00000000" w:rsidR="00000000" w:rsidRPr="00000000">
        <w:rPr>
          <w:rtl w:val="0"/>
        </w:rPr>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16216jydji8k" w:id="21"/>
      <w:bookmarkEnd w:id="21"/>
      <w:r w:rsidDel="00000000" w:rsidR="00000000" w:rsidRPr="00000000">
        <w:rPr>
          <w:b w:val="1"/>
          <w:color w:val="000000"/>
          <w:sz w:val="26"/>
          <w:szCs w:val="26"/>
          <w:rtl w:val="0"/>
        </w:rPr>
        <w:t xml:space="preserve">3 Impuls-Logik</w:t>
      </w:r>
    </w:p>
    <w:p w:rsidR="00000000" w:rsidDel="00000000" w:rsidP="00000000" w:rsidRDefault="00000000" w:rsidRPr="00000000" w14:paraId="0000008B">
      <w:pPr>
        <w:spacing w:after="200" w:before="240" w:lineRule="auto"/>
        <w:rPr/>
      </w:pPr>
      <w:r w:rsidDel="00000000" w:rsidR="00000000" w:rsidRPr="00000000">
        <w:rPr>
          <w:rtl w:val="0"/>
        </w:rPr>
        <w:t xml:space="preserve">Ein </w:t>
      </w:r>
      <w:r w:rsidDel="00000000" w:rsidR="00000000" w:rsidRPr="00000000">
        <w:rPr>
          <w:b w:val="1"/>
          <w:rtl w:val="0"/>
        </w:rPr>
        <w:t xml:space="preserve">Impuls-Paket</w:t>
      </w:r>
      <w:r w:rsidDel="00000000" w:rsidR="00000000" w:rsidRPr="00000000">
        <w:rPr>
          <w:rtl w:val="0"/>
        </w:rPr>
        <w:t xml:space="preserve"> enthält:</w:t>
      </w:r>
    </w:p>
    <w:p w:rsidR="00000000" w:rsidDel="00000000" w:rsidP="00000000" w:rsidRDefault="00000000" w:rsidRPr="00000000" w14:paraId="0000008C">
      <w:pPr>
        <w:numPr>
          <w:ilvl w:val="0"/>
          <w:numId w:val="4"/>
        </w:numPr>
        <w:spacing w:after="100" w:before="0" w:lineRule="auto"/>
        <w:ind w:left="720" w:hanging="360"/>
        <w:rPr>
          <w:u w:val="none"/>
        </w:rPr>
      </w:pPr>
      <w:r w:rsidDel="00000000" w:rsidR="00000000" w:rsidRPr="00000000">
        <w:rPr>
          <w:rtl w:val="0"/>
        </w:rPr>
        <w:t xml:space="preserve">Kurz­ziel</w:t>
      </w:r>
      <w:r w:rsidDel="00000000" w:rsidR="00000000" w:rsidRPr="00000000">
        <w:rPr>
          <w:rtl w:val="0"/>
        </w:rPr>
        <w:t xml:space="preserve"> &amp; Messgröße (Δ %-Schätzung)</w:t>
      </w:r>
    </w:p>
    <w:p w:rsidR="00000000" w:rsidDel="00000000" w:rsidP="00000000" w:rsidRDefault="00000000" w:rsidRPr="00000000" w14:paraId="0000008D">
      <w:pPr>
        <w:numPr>
          <w:ilvl w:val="0"/>
          <w:numId w:val="4"/>
        </w:numPr>
        <w:spacing w:after="100" w:before="0" w:lineRule="auto"/>
        <w:ind w:left="720" w:hanging="360"/>
        <w:rPr>
          <w:u w:val="none"/>
        </w:rPr>
      </w:pPr>
      <w:r w:rsidDel="00000000" w:rsidR="00000000" w:rsidRPr="00000000">
        <w:rPr>
          <w:rtl w:val="0"/>
        </w:rPr>
        <w:t xml:space="preserve">Aufgabenliste mit geschätzten Team-Wochen</w:t>
      </w:r>
    </w:p>
    <w:p w:rsidR="00000000" w:rsidDel="00000000" w:rsidP="00000000" w:rsidRDefault="00000000" w:rsidRPr="00000000" w14:paraId="0000008E">
      <w:pPr>
        <w:numPr>
          <w:ilvl w:val="0"/>
          <w:numId w:val="4"/>
        </w:numPr>
        <w:spacing w:after="100" w:before="0" w:lineRule="auto"/>
        <w:ind w:left="720" w:hanging="360"/>
        <w:rPr>
          <w:u w:val="none"/>
        </w:rPr>
      </w:pPr>
      <w:r w:rsidDel="00000000" w:rsidR="00000000" w:rsidRPr="00000000">
        <w:rPr>
          <w:rtl w:val="0"/>
        </w:rPr>
        <w:t xml:space="preserve">Risikoeinschätzung (Autor*in oder KI-Assist)</w:t>
      </w:r>
    </w:p>
    <w:p w:rsidR="00000000" w:rsidDel="00000000" w:rsidP="00000000" w:rsidRDefault="00000000" w:rsidRPr="00000000" w14:paraId="0000008F">
      <w:pPr>
        <w:spacing w:after="200" w:before="240" w:lineRule="auto"/>
        <w:rPr>
          <w:b w:val="1"/>
        </w:rPr>
      </w:pPr>
      <w:r w:rsidDel="00000000" w:rsidR="00000000" w:rsidRPr="00000000">
        <w:rPr>
          <w:b w:val="1"/>
          <w:rtl w:val="0"/>
        </w:rPr>
        <w:t xml:space="preserve">Freigabe-Regel:</w:t>
      </w:r>
    </w:p>
    <w:p w:rsidR="00000000" w:rsidDel="00000000" w:rsidP="00000000" w:rsidRDefault="00000000" w:rsidRPr="00000000" w14:paraId="00000090">
      <w:pPr>
        <w:numPr>
          <w:ilvl w:val="0"/>
          <w:numId w:val="6"/>
        </w:numPr>
        <w:spacing w:after="100" w:before="0" w:lineRule="auto"/>
        <w:ind w:left="450" w:hanging="360"/>
        <w:rPr>
          <w:u w:val="none"/>
        </w:rPr>
      </w:pPr>
      <w:r w:rsidDel="00000000" w:rsidR="00000000" w:rsidRPr="00000000">
        <w:rPr>
          <w:rFonts w:ascii="Arial Unicode MS" w:cs="Arial Unicode MS" w:eastAsia="Arial Unicode MS" w:hAnsi="Arial Unicode MS"/>
          <w:rtl w:val="0"/>
        </w:rPr>
        <w:t xml:space="preserve">Zwei Peer-OK und kein kritisches Risiko-Flag ⇒ Paket wird automatisch zur </w:t>
      </w:r>
      <w:r w:rsidDel="00000000" w:rsidR="00000000" w:rsidRPr="00000000">
        <w:rPr>
          <w:b w:val="1"/>
          <w:rtl w:val="0"/>
        </w:rPr>
        <w:t xml:space="preserve">Form (Status: open)</w:t>
      </w:r>
      <w:r w:rsidDel="00000000" w:rsidR="00000000" w:rsidRPr="00000000">
        <w:rPr>
          <w:rtl w:val="0"/>
        </w:rPr>
        <w:t xml:space="preserve">.</w:t>
        <w:br w:type="textWrapping"/>
        <w:br w:type="textWrapping"/>
      </w:r>
      <w:r w:rsidDel="00000000" w:rsidR="00000000" w:rsidRPr="00000000">
        <w:rPr>
          <w:i w:val="1"/>
          <w:rtl w:val="0"/>
        </w:rPr>
        <w:t xml:space="preserve">(Ein für den Zweck kalibriertes KI-System kann als Peer gelten, sofern geprüft wird.)</w:t>
      </w:r>
      <w:r w:rsidDel="00000000" w:rsidR="00000000" w:rsidRPr="00000000">
        <w:rPr>
          <w:rtl w:val="0"/>
        </w:rPr>
        <w:br w:type="textWrapping"/>
        <w:br w:type="textWrapping"/>
      </w:r>
    </w:p>
    <w:p w:rsidR="00000000" w:rsidDel="00000000" w:rsidP="00000000" w:rsidRDefault="00000000" w:rsidRPr="00000000" w14:paraId="00000091">
      <w:pPr>
        <w:numPr>
          <w:ilvl w:val="0"/>
          <w:numId w:val="6"/>
        </w:numPr>
        <w:spacing w:after="100" w:before="0" w:lineRule="auto"/>
        <w:ind w:left="450" w:hanging="360"/>
        <w:rPr>
          <w:u w:val="none"/>
        </w:rPr>
      </w:pPr>
      <w:r w:rsidDel="00000000" w:rsidR="00000000" w:rsidRPr="00000000">
        <w:rPr>
          <w:rFonts w:ascii="Arial Unicode MS" w:cs="Arial Unicode MS" w:eastAsia="Arial Unicode MS" w:hAnsi="Arial Unicode MS"/>
          <w:rtl w:val="0"/>
        </w:rPr>
        <w:t xml:space="preserve">Fehlendes OK oder Risiko-Flag ⇒ Klärung nach § 6 der Satzung.</w:t>
      </w:r>
    </w:p>
    <w:p w:rsidR="00000000" w:rsidDel="00000000" w:rsidP="00000000" w:rsidRDefault="00000000" w:rsidRPr="00000000" w14:paraId="00000092">
      <w:pPr>
        <w:numPr>
          <w:ilvl w:val="0"/>
          <w:numId w:val="6"/>
        </w:numPr>
        <w:spacing w:after="100" w:before="0" w:lineRule="auto"/>
        <w:ind w:left="450" w:hanging="360"/>
        <w:rPr>
          <w:u w:val="none"/>
        </w:rPr>
      </w:pPr>
      <w:r w:rsidDel="00000000" w:rsidR="00000000" w:rsidRPr="00000000">
        <w:rPr>
          <w:rtl w:val="0"/>
        </w:rPr>
        <w:t xml:space="preserve">Eine Rolle wird übernommen – aus dieser Übernahme entsteht Handlung.</w:t>
      </w:r>
    </w:p>
    <w:p w:rsidR="00000000" w:rsidDel="00000000" w:rsidP="00000000" w:rsidRDefault="00000000" w:rsidRPr="00000000" w14:paraId="00000093">
      <w:pPr>
        <w:numPr>
          <w:ilvl w:val="0"/>
          <w:numId w:val="6"/>
        </w:numPr>
        <w:spacing w:after="100" w:before="0" w:lineRule="auto"/>
        <w:ind w:left="450" w:hanging="360"/>
        <w:rPr>
          <w:u w:val="none"/>
        </w:rPr>
      </w:pPr>
      <w:r w:rsidDel="00000000" w:rsidR="00000000" w:rsidRPr="00000000">
        <w:rPr>
          <w:rtl w:val="0"/>
        </w:rPr>
        <w:t xml:space="preserve">Das </w:t>
      </w:r>
      <w:r w:rsidDel="00000000" w:rsidR="00000000" w:rsidRPr="00000000">
        <w:rPr>
          <w:rtl w:val="0"/>
        </w:rPr>
        <w:t xml:space="preserve">Impuls-Paket</w:t>
      </w:r>
      <w:r w:rsidDel="00000000" w:rsidR="00000000" w:rsidRPr="00000000">
        <w:rPr>
          <w:rtl w:val="0"/>
        </w:rPr>
        <w:t xml:space="preserve"> wird in der Notes-Spalte der zugehörigen Ledger-Zeile verlinkt.</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3wglsgvhzv82" w:id="22"/>
      <w:bookmarkEnd w:id="22"/>
      <w:r w:rsidDel="00000000" w:rsidR="00000000" w:rsidRPr="00000000">
        <w:rPr>
          <w:b w:val="1"/>
          <w:color w:val="000000"/>
          <w:sz w:val="26"/>
          <w:szCs w:val="26"/>
          <w:rtl w:val="0"/>
        </w:rPr>
        <w:t xml:space="preserve">4 Effect-Ledger – </w:t>
      </w:r>
      <w:r w:rsidDel="00000000" w:rsidR="00000000" w:rsidRPr="00000000">
        <w:rPr>
          <w:b w:val="1"/>
          <w:color w:val="000000"/>
          <w:sz w:val="26"/>
          <w:szCs w:val="26"/>
          <w:rtl w:val="0"/>
        </w:rPr>
        <w:t xml:space="preserve">Minimalstruktur</w:t>
      </w:r>
      <w:r w:rsidDel="00000000" w:rsidR="00000000" w:rsidRPr="00000000">
        <w:rPr>
          <w:rtl w:val="0"/>
        </w:rPr>
      </w:r>
    </w:p>
    <w:p w:rsidR="00000000" w:rsidDel="00000000" w:rsidP="00000000" w:rsidRDefault="00000000" w:rsidRPr="00000000" w14:paraId="00000096">
      <w:pPr>
        <w:spacing w:after="200" w:before="240" w:lineRule="auto"/>
        <w:rPr>
          <w:b w:val="1"/>
        </w:rPr>
      </w:pPr>
      <w:r w:rsidDel="00000000" w:rsidR="00000000" w:rsidRPr="00000000">
        <w:rPr>
          <w:b w:val="1"/>
          <w:rtl w:val="0"/>
        </w:rPr>
        <w:t xml:space="preserve">Pflichtspalten</w:t>
      </w:r>
      <w:r w:rsidDel="00000000" w:rsidR="00000000" w:rsidRPr="00000000">
        <w:rPr>
          <w:b w:val="1"/>
          <w:rtl w:val="0"/>
        </w:rPr>
        <w:t xml:space="preserve">:</w:t>
      </w:r>
    </w:p>
    <w:p w:rsidR="00000000" w:rsidDel="00000000" w:rsidP="00000000" w:rsidRDefault="00000000" w:rsidRPr="00000000" w14:paraId="00000097">
      <w:pPr>
        <w:spacing w:after="0" w:before="0" w:lineRule="auto"/>
        <w:rPr>
          <w:b w:val="1"/>
          <w:sz w:val="20"/>
          <w:szCs w:val="20"/>
          <w:shd w:fill="efefef" w:val="clear"/>
        </w:rPr>
      </w:pPr>
      <w:r w:rsidDel="00000000" w:rsidR="00000000" w:rsidRPr="00000000">
        <w:rPr>
          <w:rFonts w:ascii="Arial Unicode MS" w:cs="Arial Unicode MS" w:eastAsia="Arial Unicode MS" w:hAnsi="Arial Unicode MS"/>
          <w:b w:val="1"/>
          <w:sz w:val="18"/>
          <w:szCs w:val="18"/>
          <w:shd w:fill="efefef" w:val="clear"/>
          <w:rtl w:val="0"/>
        </w:rPr>
        <w:t xml:space="preserve">Form-ID | Ziel-Metric | Vorher → Nachher | Personen-Wochen | Betroffene | CF | EIU | NIU | -IU | Status </w:t>
      </w:r>
      <w:r w:rsidDel="00000000" w:rsidR="00000000" w:rsidRPr="00000000">
        <w:rPr>
          <w:b w:val="1"/>
          <w:sz w:val="20"/>
          <w:szCs w:val="20"/>
          <w:shd w:fill="efefef" w:val="clear"/>
          <w:rtl w:val="0"/>
        </w:rPr>
        <w:t xml:space="preserve"> </w:t>
      </w:r>
    </w:p>
    <w:p w:rsidR="00000000" w:rsidDel="00000000" w:rsidP="00000000" w:rsidRDefault="00000000" w:rsidRPr="00000000" w14:paraId="00000098">
      <w:pPr>
        <w:spacing w:after="200" w:before="400" w:lineRule="auto"/>
        <w:rPr>
          <w:b w:val="1"/>
        </w:rPr>
      </w:pPr>
      <w:r w:rsidDel="00000000" w:rsidR="00000000" w:rsidRPr="00000000">
        <w:rPr>
          <w:b w:val="1"/>
          <w:rtl w:val="0"/>
        </w:rPr>
        <w:t xml:space="preserve">Workflow:</w:t>
      </w:r>
    </w:p>
    <w:p w:rsidR="00000000" w:rsidDel="00000000" w:rsidP="00000000" w:rsidRDefault="00000000" w:rsidRPr="00000000" w14:paraId="00000099">
      <w:pPr>
        <w:numPr>
          <w:ilvl w:val="0"/>
          <w:numId w:val="5"/>
        </w:numPr>
        <w:spacing w:after="100" w:before="0" w:lineRule="auto"/>
        <w:ind w:left="450" w:hanging="360"/>
        <w:rPr/>
      </w:pPr>
      <w:r w:rsidDel="00000000" w:rsidR="00000000" w:rsidRPr="00000000">
        <w:rPr>
          <w:rtl w:val="0"/>
        </w:rPr>
        <w:t xml:space="preserve">Zeile anlegen, Form-ID vergeben</w:t>
      </w:r>
    </w:p>
    <w:p w:rsidR="00000000" w:rsidDel="00000000" w:rsidP="00000000" w:rsidRDefault="00000000" w:rsidRPr="00000000" w14:paraId="0000009A">
      <w:pPr>
        <w:numPr>
          <w:ilvl w:val="0"/>
          <w:numId w:val="5"/>
        </w:numPr>
        <w:spacing w:after="100" w:before="0" w:lineRule="auto"/>
        <w:ind w:left="450" w:hanging="360"/>
        <w:rPr/>
      </w:pPr>
      <w:r w:rsidDel="00000000" w:rsidR="00000000" w:rsidRPr="00000000">
        <w:rPr>
          <w:rtl w:val="0"/>
        </w:rPr>
        <w:t xml:space="preserve">Vorher-Wert</w:t>
      </w:r>
      <w:r w:rsidDel="00000000" w:rsidR="00000000" w:rsidRPr="00000000">
        <w:rPr>
          <w:rtl w:val="0"/>
        </w:rPr>
        <w:t xml:space="preserve"> &amp; Team-Wochen schätzen</w:t>
      </w:r>
    </w:p>
    <w:p w:rsidR="00000000" w:rsidDel="00000000" w:rsidP="00000000" w:rsidRDefault="00000000" w:rsidRPr="00000000" w14:paraId="0000009B">
      <w:pPr>
        <w:numPr>
          <w:ilvl w:val="0"/>
          <w:numId w:val="5"/>
        </w:numPr>
        <w:spacing w:after="100" w:before="0" w:lineRule="auto"/>
        <w:ind w:left="450" w:hanging="360"/>
        <w:rPr/>
      </w:pPr>
      <w:r w:rsidDel="00000000" w:rsidR="00000000" w:rsidRPr="00000000">
        <w:rPr>
          <w:rtl w:val="0"/>
        </w:rPr>
        <w:t xml:space="preserve">Aktion durchführen</w:t>
      </w:r>
    </w:p>
    <w:p w:rsidR="00000000" w:rsidDel="00000000" w:rsidP="00000000" w:rsidRDefault="00000000" w:rsidRPr="00000000" w14:paraId="0000009C">
      <w:pPr>
        <w:numPr>
          <w:ilvl w:val="0"/>
          <w:numId w:val="5"/>
        </w:numPr>
        <w:spacing w:after="100" w:before="0" w:lineRule="auto"/>
        <w:ind w:left="450" w:hanging="360"/>
        <w:rPr/>
      </w:pPr>
      <w:r w:rsidDel="00000000" w:rsidR="00000000" w:rsidRPr="00000000">
        <w:rPr>
          <w:rFonts w:ascii="Arial Unicode MS" w:cs="Arial Unicode MS" w:eastAsia="Arial Unicode MS" w:hAnsi="Arial Unicode MS"/>
          <w:rtl w:val="0"/>
        </w:rPr>
        <w:t xml:space="preserve">Nachher-Wert, Betroffene, CF eintragen → EIU/NIU werden berechnet</w:t>
      </w:r>
    </w:p>
    <w:p w:rsidR="00000000" w:rsidDel="00000000" w:rsidP="00000000" w:rsidRDefault="00000000" w:rsidRPr="00000000" w14:paraId="0000009D">
      <w:pPr>
        <w:numPr>
          <w:ilvl w:val="0"/>
          <w:numId w:val="5"/>
        </w:numPr>
        <w:spacing w:after="100" w:before="0" w:lineRule="auto"/>
        <w:ind w:left="450" w:hanging="360"/>
        <w:rPr/>
      </w:pPr>
      <w:r w:rsidDel="00000000" w:rsidR="00000000" w:rsidRPr="00000000">
        <w:rPr>
          <w:rtl w:val="0"/>
        </w:rPr>
        <w:t xml:space="preserve">Status setzen (z. B. »done«); Dormant-Färbung nach 90 Tagen automatisch</w:t>
        <w:br w:type="textWrapping"/>
        <w:t xml:space="preserve">    </w:t>
      </w:r>
      <w:r w:rsidDel="00000000" w:rsidR="00000000" w:rsidRPr="00000000">
        <w:rPr>
          <w:i w:val="1"/>
          <w:rtl w:val="0"/>
        </w:rPr>
        <w:t xml:space="preserve">Optional: </w:t>
      </w:r>
      <w:r w:rsidDel="00000000" w:rsidR="00000000" w:rsidRPr="00000000">
        <w:rPr>
          <w:b w:val="1"/>
          <w:i w:val="1"/>
          <w:rtl w:val="0"/>
        </w:rPr>
        <w:t xml:space="preserve">CF-Beleg-Link</w:t>
      </w:r>
      <w:r w:rsidDel="00000000" w:rsidR="00000000" w:rsidRPr="00000000">
        <w:rPr>
          <w:i w:val="1"/>
          <w:rtl w:val="0"/>
        </w:rPr>
        <w:t xml:space="preserve"> für Nachweise</w:t>
      </w:r>
    </w:p>
    <w:p w:rsidR="00000000" w:rsidDel="00000000" w:rsidP="00000000" w:rsidRDefault="00000000" w:rsidRPr="00000000" w14:paraId="0000009E">
      <w:pPr>
        <w:spacing w:after="240" w:before="400" w:lineRule="auto"/>
        <w:rPr>
          <w:sz w:val="18"/>
          <w:szCs w:val="18"/>
        </w:rPr>
      </w:pPr>
      <w:r w:rsidDel="00000000" w:rsidR="00000000" w:rsidRPr="00000000">
        <w:rPr>
          <w:b w:val="1"/>
          <w:rtl w:val="0"/>
        </w:rPr>
        <w:t xml:space="preserve">Hinweis:</w:t>
      </w:r>
      <w:r w:rsidDel="00000000" w:rsidR="00000000" w:rsidRPr="00000000">
        <w:rPr>
          <w:rtl w:val="0"/>
        </w:rPr>
        <w:t xml:space="preserve"> Kurz-Logs dürfen täglich geführt und quartalsweise ins Ledger übernommen werden.</w:t>
      </w: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lrqsc12i11p0" w:id="23"/>
      <w:bookmarkEnd w:id="23"/>
      <w:r w:rsidDel="00000000" w:rsidR="00000000" w:rsidRPr="00000000">
        <w:rPr>
          <w:b w:val="1"/>
          <w:color w:val="000000"/>
          <w:sz w:val="26"/>
          <w:szCs w:val="26"/>
          <w:rtl w:val="0"/>
        </w:rPr>
        <w:t xml:space="preserve">5 Versicherung &amp; Haftung</w:t>
      </w:r>
    </w:p>
    <w:p w:rsidR="00000000" w:rsidDel="00000000" w:rsidP="00000000" w:rsidRDefault="00000000" w:rsidRPr="00000000" w14:paraId="000000A1">
      <w:pPr>
        <w:spacing w:after="240" w:before="240" w:lineRule="auto"/>
        <w:rPr/>
      </w:pPr>
      <w:r w:rsidDel="00000000" w:rsidR="00000000" w:rsidRPr="00000000">
        <w:rPr>
          <w:rtl w:val="0"/>
        </w:rPr>
        <w:t xml:space="preserve">Für Risiko-Formen darf der Vorstand geeignete Versicherungen abschließen oder externe Fachkräfte beauftragen. Gesetzliche Haftung bleibt unberührt.</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cd1d9gpe0758" w:id="24"/>
      <w:bookmarkEnd w:id="24"/>
      <w:r w:rsidDel="00000000" w:rsidR="00000000" w:rsidRPr="00000000">
        <w:rPr>
          <w:b w:val="1"/>
          <w:color w:val="000000"/>
          <w:sz w:val="26"/>
          <w:szCs w:val="26"/>
          <w:rtl w:val="0"/>
        </w:rPr>
        <w:t xml:space="preserve">6 Open-Licence-Policy</w:t>
      </w:r>
    </w:p>
    <w:p w:rsidR="00000000" w:rsidDel="00000000" w:rsidP="00000000" w:rsidRDefault="00000000" w:rsidRPr="00000000" w14:paraId="000000A4">
      <w:pPr>
        <w:spacing w:after="240" w:before="240" w:lineRule="auto"/>
        <w:rPr>
          <w:b w:val="1"/>
          <w:color w:val="000000"/>
          <w:sz w:val="22"/>
          <w:szCs w:val="22"/>
        </w:rPr>
      </w:pPr>
      <w:r w:rsidDel="00000000" w:rsidR="00000000" w:rsidRPr="00000000">
        <w:rPr>
          <w:b w:val="1"/>
          <w:rtl w:val="0"/>
        </w:rPr>
        <w:t xml:space="preserve">Formen, Technologien, Modelle und Dokumente</w:t>
      </w:r>
      <w:r w:rsidDel="00000000" w:rsidR="00000000" w:rsidRPr="00000000">
        <w:rPr>
          <w:rtl w:val="0"/>
        </w:rPr>
        <w:t xml:space="preserve"> können unter Open-Source-Lizenzen (z. B. MIT, CC-BY) veröffentlicht werden.</w:t>
      </w:r>
      <w:r w:rsidDel="00000000" w:rsidR="00000000" w:rsidRPr="00000000">
        <w:rPr>
          <w:rtl w:val="0"/>
        </w:rPr>
      </w:r>
    </w:p>
    <w:p w:rsidR="00000000" w:rsidDel="00000000" w:rsidP="00000000" w:rsidRDefault="00000000" w:rsidRPr="00000000" w14:paraId="000000A5">
      <w:pPr>
        <w:pStyle w:val="Heading4"/>
        <w:keepNext w:val="0"/>
        <w:keepLines w:val="0"/>
        <w:spacing w:after="200" w:before="240" w:lineRule="auto"/>
        <w:rPr>
          <w:b w:val="1"/>
          <w:color w:val="000000"/>
          <w:sz w:val="22"/>
          <w:szCs w:val="22"/>
        </w:rPr>
      </w:pPr>
      <w:bookmarkStart w:colFirst="0" w:colLast="0" w:name="_5n2vzpv9w0q2" w:id="25"/>
      <w:bookmarkEnd w:id="25"/>
      <w:r w:rsidDel="00000000" w:rsidR="00000000" w:rsidRPr="00000000">
        <w:rPr>
          <w:b w:val="1"/>
          <w:color w:val="000000"/>
          <w:sz w:val="22"/>
          <w:szCs w:val="22"/>
          <w:rtl w:val="0"/>
        </w:rPr>
        <w:t xml:space="preserve">Kommerzielle Nutzung</w:t>
      </w:r>
    </w:p>
    <w:p w:rsidR="00000000" w:rsidDel="00000000" w:rsidP="00000000" w:rsidRDefault="00000000" w:rsidRPr="00000000" w14:paraId="000000A6">
      <w:pPr>
        <w:spacing w:after="100" w:lineRule="auto"/>
        <w:rPr/>
      </w:pPr>
      <w:r w:rsidDel="00000000" w:rsidR="00000000" w:rsidRPr="00000000">
        <w:rPr>
          <w:rtl w:val="0"/>
        </w:rPr>
        <w:t xml:space="preserve">Ist bis zu einem </w:t>
      </w:r>
      <w:r w:rsidDel="00000000" w:rsidR="00000000" w:rsidRPr="00000000">
        <w:rPr>
          <w:b w:val="1"/>
          <w:rtl w:val="0"/>
        </w:rPr>
        <w:t xml:space="preserve">Jahresumsatz von 50.000 €</w:t>
      </w:r>
      <w:r w:rsidDel="00000000" w:rsidR="00000000" w:rsidRPr="00000000">
        <w:rPr>
          <w:rtl w:val="0"/>
        </w:rPr>
        <w:t xml:space="preserve"> lizenzfrei (Freibetrag).</w:t>
      </w:r>
    </w:p>
    <w:p w:rsidR="00000000" w:rsidDel="00000000" w:rsidP="00000000" w:rsidRDefault="00000000" w:rsidRPr="00000000" w14:paraId="000000A7">
      <w:pPr>
        <w:spacing w:after="100" w:lineRule="auto"/>
        <w:rPr/>
      </w:pPr>
      <w:r w:rsidDel="00000000" w:rsidR="00000000" w:rsidRPr="00000000">
        <w:rPr>
          <w:rtl w:val="0"/>
        </w:rPr>
        <w:t xml:space="preserve">Ab Überschreiten wird ein Beitrag zu lokalen IU-Projekten erwartet – in Form einer gemeinnützigen Weiterleitung eines Anteils (z. B. 5 % der Überschreitung).  </w:t>
      </w:r>
    </w:p>
    <w:p w:rsidR="00000000" w:rsidDel="00000000" w:rsidP="00000000" w:rsidRDefault="00000000" w:rsidRPr="00000000" w14:paraId="000000A8">
      <w:pPr>
        <w:spacing w:after="100" w:lineRule="auto"/>
        <w:rPr/>
      </w:pPr>
      <w:r w:rsidDel="00000000" w:rsidR="00000000" w:rsidRPr="00000000">
        <w:rPr>
          <w:rtl w:val="0"/>
        </w:rPr>
        <w:t xml:space="preserve">Diese Beiträge sind nicht einklagbar, sondern Ausdruck struktureller Integrität.</w:t>
      </w:r>
    </w:p>
    <w:p w:rsidR="00000000" w:rsidDel="00000000" w:rsidP="00000000" w:rsidRDefault="00000000" w:rsidRPr="00000000" w14:paraId="000000A9">
      <w:pPr>
        <w:pStyle w:val="Heading4"/>
        <w:keepNext w:val="0"/>
        <w:keepLines w:val="0"/>
        <w:spacing w:after="40" w:before="400" w:lineRule="auto"/>
        <w:rPr>
          <w:b w:val="1"/>
          <w:color w:val="000000"/>
          <w:sz w:val="22"/>
          <w:szCs w:val="22"/>
        </w:rPr>
      </w:pPr>
      <w:bookmarkStart w:colFirst="0" w:colLast="0" w:name="_4jjcyi99dzdh" w:id="26"/>
      <w:bookmarkEnd w:id="26"/>
      <w:r w:rsidDel="00000000" w:rsidR="00000000" w:rsidRPr="00000000">
        <w:rPr>
          <w:b w:val="1"/>
          <w:color w:val="000000"/>
          <w:sz w:val="22"/>
          <w:szCs w:val="22"/>
          <w:rtl w:val="0"/>
        </w:rPr>
        <w:t xml:space="preserve">Non-Profit-Nutzung</w:t>
      </w:r>
    </w:p>
    <w:p w:rsidR="00000000" w:rsidDel="00000000" w:rsidP="00000000" w:rsidRDefault="00000000" w:rsidRPr="00000000" w14:paraId="000000AA">
      <w:pPr>
        <w:spacing w:after="100" w:before="240" w:lineRule="auto"/>
        <w:ind w:left="0" w:firstLine="0"/>
        <w:rPr/>
      </w:pPr>
      <w:r w:rsidDel="00000000" w:rsidR="00000000" w:rsidRPr="00000000">
        <w:rPr>
          <w:rtl w:val="0"/>
        </w:rPr>
        <w:t xml:space="preserve">D</w:t>
      </w:r>
      <w:r w:rsidDel="00000000" w:rsidR="00000000" w:rsidRPr="00000000">
        <w:rPr>
          <w:rtl w:val="0"/>
        </w:rPr>
        <w:t xml:space="preserve">auerhaft lizenzfrei, verbunden mit der Erwartung IU-orientierter Mittelverwendung und transparenter Wirkungserfassung.</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30vyyshkk3k0" w:id="27"/>
      <w:bookmarkEnd w:id="27"/>
      <w:r w:rsidDel="00000000" w:rsidR="00000000" w:rsidRPr="00000000">
        <w:rPr>
          <w:b w:val="1"/>
          <w:color w:val="000000"/>
          <w:sz w:val="26"/>
          <w:szCs w:val="26"/>
          <w:rtl w:val="0"/>
        </w:rPr>
        <w:t xml:space="preserve">8 Datenschutz</w:t>
      </w:r>
    </w:p>
    <w:p w:rsidR="00000000" w:rsidDel="00000000" w:rsidP="00000000" w:rsidRDefault="00000000" w:rsidRPr="00000000" w14:paraId="000000AD">
      <w:pPr>
        <w:spacing w:after="240" w:before="240" w:lineRule="auto"/>
        <w:rPr/>
      </w:pPr>
      <w:r w:rsidDel="00000000" w:rsidR="00000000" w:rsidRPr="00000000">
        <w:rPr>
          <w:rtl w:val="0"/>
        </w:rPr>
        <w:t xml:space="preserve">Personenbezogene Ledger-Daten werden ausschließlich gemäß DSGVO Art. 6 Abs. 1 lit. f verarbeitet. </w:t>
      </w:r>
    </w:p>
    <w:p w:rsidR="00000000" w:rsidDel="00000000" w:rsidP="00000000" w:rsidRDefault="00000000" w:rsidRPr="00000000" w14:paraId="000000AE">
      <w:pPr>
        <w:spacing w:after="240" w:before="240" w:lineRule="auto"/>
        <w:rPr/>
      </w:pPr>
      <w:r w:rsidDel="00000000" w:rsidR="00000000" w:rsidRPr="00000000">
        <w:rPr>
          <w:rtl w:val="0"/>
        </w:rPr>
        <w:t xml:space="preserve">Erfasst wird nur, was zur Wirkungsmessung erforderlich ist.</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w1b7suh4fcja" w:id="28"/>
      <w:bookmarkEnd w:id="28"/>
      <w:r w:rsidDel="00000000" w:rsidR="00000000" w:rsidRPr="00000000">
        <w:rPr>
          <w:b w:val="1"/>
          <w:color w:val="000000"/>
          <w:sz w:val="26"/>
          <w:szCs w:val="26"/>
          <w:rtl w:val="0"/>
        </w:rPr>
        <w:t xml:space="preserve">9 Interne Weiterleitungsregel</w:t>
      </w:r>
    </w:p>
    <w:p w:rsidR="00000000" w:rsidDel="00000000" w:rsidP="00000000" w:rsidRDefault="00000000" w:rsidRPr="00000000" w14:paraId="000000B1">
      <w:pPr>
        <w:spacing w:after="240" w:before="240" w:lineRule="auto"/>
        <w:rPr>
          <w:b w:val="1"/>
        </w:rPr>
      </w:pPr>
      <w:r w:rsidDel="00000000" w:rsidR="00000000" w:rsidRPr="00000000">
        <w:rPr>
          <w:rtl w:val="0"/>
        </w:rPr>
        <w:t xml:space="preserve">Überschüssige Mittel fließen an die gemeinnützige Organisation mit der höchsten veröffentlichten </w:t>
      </w:r>
      <w:r w:rsidDel="00000000" w:rsidR="00000000" w:rsidRPr="00000000">
        <w:rPr>
          <w:b w:val="1"/>
          <w:rtl w:val="0"/>
        </w:rPr>
        <w:t xml:space="preserve">IU-/€-Kennzahl</w:t>
      </w:r>
      <w:r w:rsidDel="00000000" w:rsidR="00000000" w:rsidRPr="00000000">
        <w:rPr>
          <w:rtl w:val="0"/>
        </w:rPr>
        <w:t xml:space="preserve">.</w:t>
        <w:br w:type="textWrapping"/>
        <w:br w:type="textWrapping"/>
        <w:t xml:space="preserve">Bei nahezu gleichem Wert entscheidet der Vorstand nach sachgerechtem Ermessen.</w:t>
      </w: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b w:val="1"/>
          <w:rtl w:val="0"/>
        </w:rPr>
        <w:br w:type="textWrapping"/>
        <w:br w:type="textWrapping"/>
      </w:r>
      <w:r w:rsidDel="00000000" w:rsidR="00000000" w:rsidRPr="00000000">
        <w:rPr>
          <w:sz w:val="20"/>
          <w:szCs w:val="20"/>
          <w:rtl w:val="0"/>
        </w:rPr>
        <w:t xml:space="preserve">(</w:t>
      </w:r>
      <w:r w:rsidDel="00000000" w:rsidR="00000000" w:rsidRPr="00000000">
        <w:rPr>
          <w:i w:val="1"/>
          <w:sz w:val="20"/>
          <w:szCs w:val="20"/>
          <w:rtl w:val="0"/>
        </w:rPr>
        <w:t xml:space="preserve">Diese Satzung ist eine Form. Ihre Wirkung soll dem Gemüt gut tun.)</w:t>
        <w:br w:type="textWrapping"/>
      </w:r>
      <w:r w:rsidDel="00000000" w:rsidR="00000000" w:rsidRPr="00000000">
        <w:rPr>
          <w:b w:val="1"/>
          <w:sz w:val="20"/>
          <w:szCs w:val="20"/>
          <w:rtl w:val="0"/>
        </w:rPr>
        <w:br w:type="textWrapping"/>
        <w:t xml:space="preserve">[Ende des Frameworks – version forma-03-03-2025-00</w:t>
      </w:r>
      <w:r w:rsidDel="00000000" w:rsidR="00000000" w:rsidRPr="00000000">
        <w:rPr>
          <w:b w:val="1"/>
          <w:sz w:val="18"/>
          <w:szCs w:val="18"/>
          <w:rtl w:val="0"/>
        </w:rPr>
        <w:t xml:space="preserve"> </w:t>
      </w:r>
      <w:r w:rsidDel="00000000" w:rsidR="00000000" w:rsidRPr="00000000">
        <w:rPr>
          <w:b w:val="1"/>
          <w:sz w:val="20"/>
          <w:szCs w:val="20"/>
          <w:rtl w:val="0"/>
        </w:rPr>
        <w:t xml:space="preserve">– institut.forma@protonmail.com</w:t>
      </w:r>
      <w:r w:rsidDel="00000000" w:rsidR="00000000" w:rsidRPr="00000000">
        <w:rPr>
          <w:b w:val="1"/>
          <w:rtl w:val="0"/>
        </w:rPr>
        <w:t xml:space="preserve">]</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