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tabs>
          <w:tab w:val="right" w:leader="none" w:pos="9360"/>
        </w:tabs>
        <w:spacing w:before="280" w:lineRule="auto"/>
        <w:rPr>
          <w:i w:val="1"/>
          <w:color w:val="000000"/>
          <w:sz w:val="20"/>
          <w:szCs w:val="20"/>
        </w:rPr>
      </w:pPr>
      <w:bookmarkStart w:colFirst="0" w:colLast="0" w:name="_a405eu6470t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Institute for Structural Integrity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Statute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'e.V. frame – version ev-forma-03-03-2025-00</w:t>
      </w:r>
      <w:r w:rsidDel="00000000" w:rsidR="00000000" w:rsidRPr="00000000">
        <w:rPr>
          <w:rtl w:val="0"/>
        </w:rPr>
        <w:t xml:space="preserve"> (supersedes: -)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The institute is slightly irritated.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pd6u39up34c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Preamble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Institute serves no individual, no market, no self-image.</w:t>
      </w:r>
      <w:r w:rsidDel="00000000" w:rsidR="00000000" w:rsidRPr="00000000">
        <w:rPr>
          <w:i w:val="1"/>
          <w:rtl w:val="0"/>
        </w:rPr>
        <w:br w:type="textWrapping"/>
        <w:br w:type="textWrapping"/>
        <w:t xml:space="preserve">It exists to bring forth structures that carry when needed,</w:t>
        <w:br w:type="textWrapping"/>
        <w:t xml:space="preserve">and step aside once their effect is fulfilled.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Its task is to create the conditions under which human capabilities can act</w:t>
        <w:br w:type="textWrapping"/>
        <w:t xml:space="preserve">– and forms that enable shared progress.</w:t>
      </w:r>
    </w:p>
    <w:p w:rsidR="00000000" w:rsidDel="00000000" w:rsidP="00000000" w:rsidRDefault="00000000" w:rsidRPr="00000000" w14:paraId="00000007">
      <w:pPr>
        <w:spacing w:after="10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Actions are based on verifiable facts and open documentation.</w:t>
        <w:br w:type="textWrapping"/>
        <w:t xml:space="preserve">(Legal procedures remain unaffected. Terms used are defined in the appendix.)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4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on independence</w:t>
      </w:r>
    </w:p>
    <w:p w:rsidR="00000000" w:rsidDel="00000000" w:rsidP="00000000" w:rsidRDefault="00000000" w:rsidRPr="00000000" w14:paraId="00000009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The Institute is politically, religiously, and ideologically neutral.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It rejects all forms of extremism, misanthropy, or ideologically motivated appropriation.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9ofhho837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1 Name, Registered Office, Financial Year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association is named “Institute for Structural Integrity e.V.”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Its registered office is in Tübingen.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financial year is the calendar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1zll16tk8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2 Purpose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association is to develop, apply and disseminate structurally effective methods and systems that demonstrably improve social capacity to act.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1"/>
        </w:numPr>
        <w:spacing w:after="0" w:before="100" w:line="36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This is implemented in the following areas: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00" w:before="0" w:line="276" w:lineRule="auto"/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and provision of freely accessible organizational and decision-making structures;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00" w:before="0" w:line="276" w:lineRule="auto"/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the development of education, care, and infrastructure models oriented toward the common good;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00" w:before="0" w:line="276" w:lineRule="auto"/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the research and application of new technologies with structural impact — e.g., in areas such as renewable energy, adaptive technology use, or resilient system solutions;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00" w:before="0" w:line="276" w:lineRule="auto"/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cooperation with civil society, science, public institutions, and nonprofit organizations.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association pursues exclusively and directly nonprofit purposes within the meaning of §§51–68 of the German Fiscal Code (AO).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2buzmctjk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3 Membership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Anyone who contributes effectively in line with the association's purpose may become a member.</w:t>
      </w:r>
      <w:r w:rsidDel="00000000" w:rsidR="00000000" w:rsidRPr="00000000">
        <w:rPr>
          <w:rtl w:val="0"/>
        </w:rPr>
        <w:br w:type="textWrapping"/>
        <w:t xml:space="preserve">Proof is provided through a comprehensible, dated record — e.g. in written form, digital text, or as a transcribed excerpt from a video recording.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Admission is decided by the board. There is no entitlement to membership.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100" w:before="240" w:lineRule="auto"/>
        <w:ind w:left="450" w:hanging="360"/>
      </w:pPr>
      <w:r w:rsidDel="00000000" w:rsidR="00000000" w:rsidRPr="00000000">
        <w:rPr>
          <w:rtl w:val="0"/>
        </w:rPr>
        <w:t xml:space="preserve">Membership ends only through resignation or expulsion. The suspension or loss of a role does not affect membership.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Anyone who becomes an effective part of the structure through action, observation, or resonance is structurally included — regardless of formal membership.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No membership fees are charged.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board maintains a simple member registry including name, date of entry, and contact information.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arh9li1um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3a Internal Structural Logic and External Legal Effect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00" w:before="240" w:lineRule="auto"/>
        <w:ind w:left="450" w:hanging="360"/>
      </w:pPr>
      <w:r w:rsidDel="00000000" w:rsidR="00000000" w:rsidRPr="00000000">
        <w:rPr>
          <w:rtl w:val="0"/>
        </w:rPr>
        <w:t xml:space="preserve">Internally, roles arise solely through action.</w:t>
        <w:br w:type="textWrapping"/>
        <w:t xml:space="preserve">Externally, legal procedures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Contracts, cooperations, and legal declarations are made only by the board or a person authorized by it.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Terms such as forms, effect, trust, and similar describe internal functional principles without direct external effect.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association is liable according to legal provisions. The board is authorized to obtain appropriate insurance for forms involving risk.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f4je9lrl1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4 Board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board consists of at least one natural person; there is no upper 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term of office is three years; re-election is permitted.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board represents the association in and out of court (§ 26 BGB).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Resolutions are passed by simple majority; in case of a tie, the chairperson decides.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Titles such as</w:t>
      </w:r>
      <w:r w:rsidDel="00000000" w:rsidR="00000000" w:rsidRPr="00000000">
        <w:rPr>
          <w:i w:val="1"/>
          <w:rtl w:val="0"/>
        </w:rPr>
        <w:t xml:space="preserve"> “Chief Locomotive Irregularity Officer,” “Head of Formulated Formfulness,” or “Assistant to the Emotional Manager” may be self-assigned in cases of insufficient integrity.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vzz7lobdf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5 Membership Assembly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Held at least once a year; convened by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Invitation at least two weeks in advance by email with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Responsibilities:</w:t>
      </w:r>
      <w:r w:rsidDel="00000000" w:rsidR="00000000" w:rsidRPr="00000000">
        <w:rPr>
          <w:rtl w:val="0"/>
        </w:rPr>
        <w:br w:type="textWrapping"/>
        <w:t xml:space="preserve"> – Election and removal of the board;</w:t>
        <w:br w:type="textWrapping"/>
        <w:t xml:space="preserve"> – Discharge of the board;</w:t>
        <w:br w:type="textWrapping"/>
        <w:t xml:space="preserve"> – Amendments to the statute;</w:t>
        <w:br w:type="textWrapping"/>
        <w:t xml:space="preserve"> – Dissolution of the association.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Resolutions are passed by a simple majority of those present.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100" w:before="24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Meetings may be conducted physically, digitally, or in hybrid form.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wnsoa1uya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6 Clarification and Integrity Disturbance</w:t>
      </w:r>
    </w:p>
    <w:p w:rsidR="00000000" w:rsidDel="00000000" w:rsidP="00000000" w:rsidRDefault="00000000" w:rsidRPr="00000000" w14:paraId="00000036">
      <w:pPr>
        <w:keepNext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Where effect fails or contradictions arise, any role may initiate clarification.</w:t>
      </w:r>
      <w:r w:rsidDel="00000000" w:rsidR="00000000" w:rsidRPr="00000000">
        <w:rPr>
          <w:rtl w:val="0"/>
        </w:rPr>
        <w:br w:type="textWrapping"/>
        <w:br w:type="textWrapping"/>
        <w:t xml:space="preserve">Clarification is itself a form and is documented in the Effect Ledger, including reviewer entry.</w:t>
        <w:br w:type="textWrapping"/>
        <w:br w:type="textWrapping"/>
        <w:t xml:space="preserve">The goal is the restoration of actionability — not the assignment of blame.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1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vpdysf6fui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7 Use of funds</w:t>
      </w:r>
    </w:p>
    <w:p w:rsidR="00000000" w:rsidDel="00000000" w:rsidP="00000000" w:rsidRDefault="00000000" w:rsidRPr="00000000" w14:paraId="00000039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Financial accounting is carried out in accordance with the German Commercial Code (HGB) and the German Fiscal Code (AO).</w:t>
      </w:r>
    </w:p>
    <w:p w:rsidR="00000000" w:rsidDel="00000000" w:rsidP="00000000" w:rsidRDefault="00000000" w:rsidRPr="00000000" w14:paraId="0000003A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Impact Units (IU) serve solely to supplement impact transparency in external reporting. They do not replace internal accounting or decision-making, and are not intended for performance comparisons between institutions.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100" w:before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association’s funds may only be used for statutory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10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Members do not receive any donations from the association’s funds.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10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remuneration for activities is permissible provided that it serves the purpose and complies with Section 55 of the Fiscal Code (AO).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100" w:before="240" w:lineRule="auto"/>
        <w:ind w:left="360"/>
      </w:pPr>
      <w:r w:rsidDel="00000000" w:rsidR="00000000" w:rsidRPr="00000000">
        <w:rPr>
          <w:rtl w:val="0"/>
        </w:rPr>
        <w:t xml:space="preserve">Revenue from commercial activities—especially license or usage fees—goes entirely to the charitable purpose. After deducting statutory taxes, any surplus funds are specifically channeled to tax-exempt projects or organizations that demonstrate a high level of integrity according to the impact criteria in the appendix.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ycslmwid5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8 External effects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Forms with external impact create understandable responsibility.</w:t>
      </w:r>
      <w:r w:rsidDel="00000000" w:rsidR="00000000" w:rsidRPr="00000000">
        <w:rPr>
          <w:rtl w:val="0"/>
        </w:rPr>
        <w:br w:type="textWrapping"/>
        <w:t xml:space="preserve">Roles that act publicly or legally visibly mark this responsibility.</w:t>
        <w:br w:type="textWrapping"/>
        <w:t xml:space="preserve">The structure creates transparency but does not replace legal obligations.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pm7sryhaq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9 Dissolution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Dissolution requires a two-thirds majority of the membership assembly.</w:t>
      </w:r>
      <w:r w:rsidDel="00000000" w:rsidR="00000000" w:rsidRPr="00000000">
        <w:rPr>
          <w:rtl w:val="0"/>
        </w:rPr>
        <w:br w:type="textWrapping"/>
        <w:t xml:space="preserve">Assets shall be transferred to a tax-privileged organization with a comparable purpose.</w:t>
        <w:br w:type="textWrapping"/>
        <w:t xml:space="preserve">Commercial repurposing or private distribution is excluded.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locnqflcu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§ 10 Scope of Application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appendix “Framework” constitutes the internal scope of application.</w:t>
        <w:br w:type="textWrapping"/>
        <w:t xml:space="preserve">It is part of this statute but not legally binding towards third parties.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board may update specific parameters of the appendix by written resolution, provided that integrity, transparency, and nonprofit character are maintained..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Forms, documents, and tools developed within this framework may be published by the board under open licenses (e.g., CC-BY 4.0, MIT). Any further use requires the publication of resulting impact data in accordance with this framework.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pacing w:after="80" w:lineRule="auto"/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Appendix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4C">
      <w:pPr>
        <w:tabs>
          <w:tab w:val="right" w:leader="none" w:pos="9180"/>
        </w:tabs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[Begin of Framework – version forma-03-03-2025-00]</w:t>
        <w:tab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erja9pxih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1 Glossary of Terms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7230"/>
        <w:tblGridChange w:id="0">
          <w:tblGrid>
            <w:gridCol w:w="2535"/>
            <w:gridCol w:w="7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Operational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Verifiable improvement of a previously defined system state.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Effect arises exclusively through application;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intentions do not count – Luhmann, in mild dissent: “Yo.”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Trust is reproducible coherence in open action.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It arises through demonstrable reliability – and fades when that reliability can no longer be substantiated.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Functional shell created through action – not by appointment.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Roles remain valid as long as they generate effect.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Impulse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Structured proposal with embedded form of action and clear objective.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Unfolds effect only if transparently documented, plausibly reasoned, and activated through action.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Contains all information required for immediate execution by any capable person or entity.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Clarification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Structured process for restoring operational clarity;</w:t>
              <w:br w:type="textWrapping"/>
              <w:t xml:space="preserve">replaces blame with transparent traceability.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Integrity Disturbance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Traceable disruption of effect, trust, or clarity.</w:t>
              <w:br w:type="textWrapping"/>
              <w:t xml:space="preserve">Affected forms / roles are paused until clarification occurs.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Documented connection between action, role, and outcome;</w:t>
              <w:br w:type="textWrapping"/>
              <w:t xml:space="preserve">independent of intent, legally accountable under law.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1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sjb3ljiwh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2 Impact Metrics – External Reporting Values</w:t>
      </w:r>
    </w:p>
    <w:p w:rsidR="00000000" w:rsidDel="00000000" w:rsidP="00000000" w:rsidRDefault="00000000" w:rsidRPr="00000000" w14:paraId="00000067">
      <w:pPr>
        <w:pStyle w:val="Heading4"/>
        <w:keepNext w:val="1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w8shdjvuw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counts as effect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Effect is a traceable improvement of a specific system value (metric).</w:t>
      </w:r>
      <w:r w:rsidDel="00000000" w:rsidR="00000000" w:rsidRPr="00000000">
        <w:rPr>
          <w:rtl w:val="0"/>
        </w:rPr>
        <w:br w:type="textWrapping"/>
        <w:t xml:space="preserve">The chosen metric must be observable, plausibly influenceable, and documentable.</w:t>
      </w:r>
    </w:p>
    <w:p w:rsidR="00000000" w:rsidDel="00000000" w:rsidP="00000000" w:rsidRDefault="00000000" w:rsidRPr="00000000" w14:paraId="00000069">
      <w:pPr>
        <w:pStyle w:val="Heading3"/>
        <w:keepNext w:val="1"/>
        <w:keepLines w:val="0"/>
        <w:spacing w:after="200" w:before="280" w:lineRule="auto"/>
        <w:rPr>
          <w:b w:val="1"/>
          <w:color w:val="000000"/>
          <w:sz w:val="26"/>
          <w:szCs w:val="26"/>
        </w:rPr>
      </w:pPr>
      <w:bookmarkStart w:colFirst="0" w:colLast="0" w:name="_arn7xc7hi9k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Typical metrics (examples):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100" w:before="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Waiting time for help</w:t>
        <w:br w:type="textWrapping"/>
      </w:r>
      <w:r w:rsidDel="00000000" w:rsidR="00000000" w:rsidRPr="00000000">
        <w:rPr>
          <w:rtl w:val="0"/>
        </w:rPr>
        <w:t xml:space="preserve"> e.g. “Days from first contact to support by crisis service”</w:t>
        <w:br w:type="textWrapping"/>
        <w:t xml:space="preserve">  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Shows direct improvement in service speed.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Reduction of administrative burden</w:t>
        <w:br w:type="textWrapping"/>
      </w:r>
      <w:r w:rsidDel="00000000" w:rsidR="00000000" w:rsidRPr="00000000">
        <w:rPr>
          <w:rtl w:val="0"/>
        </w:rPr>
        <w:t xml:space="preserve"> e.g. “Number of pages on forms”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 → Needs no explanation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Comprehensibility of information</w:t>
        <w:br w:type="textWrapping"/>
      </w:r>
      <w:r w:rsidDel="00000000" w:rsidR="00000000" w:rsidRPr="00000000">
        <w:rPr>
          <w:rtl w:val="0"/>
        </w:rPr>
        <w:t xml:space="preserve"> e.g. “Flesch Index of informational materials”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 → Captures how barrier-free content is designed.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Self-efficacy in everyday life</w:t>
        <w:br w:type="textWrapping"/>
        <w:t xml:space="preserve">   </w:t>
      </w:r>
      <w:r w:rsidDel="00000000" w:rsidR="00000000" w:rsidRPr="00000000">
        <w:rPr>
          <w:rtl w:val="0"/>
        </w:rPr>
        <w:t xml:space="preserve">e.g., “Self-assessment: ‘I can make a difference’ (scale 1–10)”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 → Shows whether a project creates inner security of action.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Accessibility of public bodies</w:t>
        <w:br w:type="textWrapping"/>
      </w:r>
      <w:r w:rsidDel="00000000" w:rsidR="00000000" w:rsidRPr="00000000">
        <w:rPr>
          <w:rtl w:val="0"/>
        </w:rPr>
        <w:t xml:space="preserve"> e.g. “Proportion of contact points available outside core hours”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 → Measures structural inclusion and barrier removal.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Stability of long-term effects</w:t>
        <w:br w:type="textWrapping"/>
      </w:r>
      <w:r w:rsidDel="00000000" w:rsidR="00000000" w:rsidRPr="00000000">
        <w:rPr>
          <w:rtl w:val="0"/>
        </w:rPr>
        <w:t xml:space="preserve">  e.g. “Maintaining effectiveness after 6 months”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 → Shows whether an effect is permanent or only short-term.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Technical-ecological efficiency</w:t>
        <w:br w:type="textWrapping"/>
      </w:r>
      <w:r w:rsidDel="00000000" w:rsidR="00000000" w:rsidRPr="00000000">
        <w:rPr>
          <w:rtl w:val="0"/>
        </w:rPr>
        <w:t xml:space="preserve"> e.g. “Power consumption before/after with new solution”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 → Use technical metrics to measure impact.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Reintegration provides potential</w:t>
        <w:br w:type="textWrapping"/>
      </w:r>
      <w:r w:rsidDel="00000000" w:rsidR="00000000" w:rsidRPr="00000000">
        <w:rPr>
          <w:rtl w:val="0"/>
        </w:rPr>
        <w:t xml:space="preserve"> e.g., “Number of people who return to work, education, or daily routine after receiving support”</w:t>
        <w:br w:type="textWrapping"/>
        <w:t xml:space="preserve"> 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Measures whether projects bring people back to life in a stable way – especially in cases of previous invisibility due to psychological or structural overload.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Social connectivity</w:t>
        <w:br w:type="textWrapping"/>
      </w:r>
      <w:r w:rsidDel="00000000" w:rsidR="00000000" w:rsidRPr="00000000">
        <w:rPr>
          <w:rtl w:val="0"/>
        </w:rPr>
        <w:t xml:space="preserve"> e.g. “Perceived belonging (scale) before and after participation”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 → Shows whether projects reduce isolation and promote integration.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Collaboration resonance</w:t>
        <w:br w:type="textWrapping"/>
      </w:r>
      <w:r w:rsidDel="00000000" w:rsidR="00000000" w:rsidRPr="00000000">
        <w:rPr>
          <w:rtl w:val="0"/>
        </w:rPr>
        <w:t xml:space="preserve">e.g. “Duration, quality, and voluntary repetition of cooperation”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Evaluates impact on the environment through measurable relationship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 is measurable as soon as two values are comparable — before and after the action. Everything else follows from the difference.</w:t>
      </w:r>
    </w:p>
    <w:p w:rsidR="00000000" w:rsidDel="00000000" w:rsidP="00000000" w:rsidRDefault="00000000" w:rsidRPr="00000000" w14:paraId="00000075">
      <w:pPr>
        <w:pStyle w:val="Heading4"/>
        <w:keepNext w:val="1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ilyfb4537p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Impact Units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1) Efficiency-Impact-Unit (EIU)</w:t>
        <w:br w:type="textWrapping"/>
      </w:r>
      <w:r w:rsidDel="00000000" w:rsidR="00000000" w:rsidRPr="00000000">
        <w:rPr>
          <w:rtl w:val="0"/>
        </w:rPr>
        <w:t xml:space="preserve"> Shows the percentage of improvement achieved per person-week deployed.</w:t>
        <w:br w:type="textWrapping"/>
        <w:t xml:space="preserve">  </w:t>
      </w:r>
      <w:r w:rsidDel="00000000" w:rsidR="00000000" w:rsidRPr="00000000">
        <w:rPr>
          <w:i w:val="1"/>
          <w:sz w:val="20"/>
          <w:szCs w:val="20"/>
          <w:rtl w:val="0"/>
        </w:rPr>
        <w:t xml:space="preserve">Formula:</w:t>
      </w:r>
      <w:r w:rsidDel="00000000" w:rsidR="00000000" w:rsidRPr="00000000">
        <w:rPr>
          <w:rtl w:val="0"/>
        </w:rPr>
        <w:br w:type="textWrapping"/>
        <w:t xml:space="preserve">    </w:t>
      </w:r>
      <w:r w:rsidDel="00000000" w:rsidR="00000000" w:rsidRPr="00000000">
        <w:rPr>
          <w:shd w:fill="efefef" w:val="clear"/>
          <w:rtl w:val="0"/>
        </w:rPr>
        <w:t xml:space="preserve">EIU = (Δ% ÷ persons × weeks) × Confidence Factor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(subtracts general headaches)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hd w:fill="efefef" w:val="clear"/>
        </w:rPr>
      </w:pPr>
      <w:r w:rsidDel="00000000" w:rsidR="00000000" w:rsidRPr="00000000">
        <w:rPr>
          <w:b w:val="1"/>
          <w:rtl w:val="0"/>
        </w:rPr>
        <w:t xml:space="preserve">2) Net-Impact-Unit (NIU)</w:t>
        <w:br w:type="textWrapping"/>
      </w:r>
      <w:r w:rsidDel="00000000" w:rsidR="00000000" w:rsidRPr="00000000">
        <w:rPr>
          <w:rtl w:val="0"/>
        </w:rPr>
        <w:t xml:space="preserve"> Shows the total volume of effect achieved in the affected target group.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 </w:t>
      </w:r>
      <w:r w:rsidDel="00000000" w:rsidR="00000000" w:rsidRPr="00000000">
        <w:rPr>
          <w:i w:val="1"/>
          <w:sz w:val="20"/>
          <w:szCs w:val="20"/>
          <w:rtl w:val="0"/>
        </w:rPr>
        <w:t xml:space="preserve">Formula:</w:t>
      </w:r>
      <w:r w:rsidDel="00000000" w:rsidR="00000000" w:rsidRPr="00000000">
        <w:rPr>
          <w:rtl w:val="0"/>
        </w:rPr>
        <w:br w:type="textWrapping"/>
        <w:t xml:space="preserve">    </w:t>
      </w:r>
      <w:r w:rsidDel="00000000" w:rsidR="00000000" w:rsidRPr="00000000">
        <w:rPr>
          <w:shd w:fill="efefef" w:val="clear"/>
          <w:rtl w:val="0"/>
        </w:rPr>
        <w:t xml:space="preserve">NIU = Δ% × number of directly benefited × Confidence Factor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hd w:fill="efefef" w:val="clear"/>
        </w:rPr>
      </w:pPr>
      <w:r w:rsidDel="00000000" w:rsidR="00000000" w:rsidRPr="00000000">
        <w:rPr>
          <w:b w:val="1"/>
          <w:rtl w:val="0"/>
        </w:rPr>
        <w:t xml:space="preserve">3) Negative-Impact-Unit (-IU)</w:t>
        <w:br w:type="textWrapping"/>
      </w:r>
      <w:r w:rsidDel="00000000" w:rsidR="00000000" w:rsidRPr="00000000">
        <w:rPr>
          <w:rtl w:val="0"/>
        </w:rPr>
        <w:t xml:space="preserve"> Shows the extent of documented negative effects within or outside the target group.</w:t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 </w:t>
      </w:r>
      <w:r w:rsidDel="00000000" w:rsidR="00000000" w:rsidRPr="00000000">
        <w:rPr>
          <w:i w:val="1"/>
          <w:sz w:val="20"/>
          <w:szCs w:val="20"/>
          <w:rtl w:val="0"/>
        </w:rPr>
        <w:t xml:space="preserve">Formula:</w:t>
      </w:r>
      <w:r w:rsidDel="00000000" w:rsidR="00000000" w:rsidRPr="00000000">
        <w:rPr>
          <w:rtl w:val="0"/>
        </w:rPr>
        <w:br w:type="textWrapping"/>
        <w:t xml:space="preserve">    </w:t>
      </w:r>
      <w:r w:rsidDel="00000000" w:rsidR="00000000" w:rsidRPr="00000000">
        <w:rPr>
          <w:shd w:fill="efefef" w:val="clear"/>
          <w:rtl w:val="0"/>
        </w:rPr>
        <w:t xml:space="preserve">-IU = Δ% × number of negatively affected × Confidence Factor × Severity Factor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bzrawyfo6x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  <w:t xml:space="preserve">Definitions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Δ %: measured relative improvement of a clearly defined baseline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Persons × Weeks: documented team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Confidence Factor (CF): </w:t>
      </w:r>
      <w:r w:rsidDel="00000000" w:rsidR="00000000" w:rsidRPr="00000000">
        <w:rPr>
          <w:rtl w:val="0"/>
        </w:rPr>
        <w:t xml:space="preserve">assessment of measurement quality</w:t>
        <w:br w:type="textWrapping"/>
        <w:t xml:space="preserve">  </w:t>
      </w:r>
      <w:r w:rsidDel="00000000" w:rsidR="00000000" w:rsidRPr="00000000">
        <w:rPr>
          <w:shd w:fill="efefef" w:val="clear"/>
          <w:rtl w:val="0"/>
        </w:rPr>
        <w:t xml:space="preserve">A = 1.0 | B = 0.8 | C = 0.6 | D = 0.4 | E = 0.2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100" w:before="240" w:lineRule="auto"/>
        <w:ind w:left="450" w:hanging="360"/>
      </w:pPr>
      <w:r w:rsidDel="00000000" w:rsidR="00000000" w:rsidRPr="00000000">
        <w:rPr>
          <w:b w:val="1"/>
          <w:rtl w:val="0"/>
        </w:rPr>
        <w:t xml:space="preserve">Severity Factor (SF): </w:t>
      </w:r>
      <w:r w:rsidDel="00000000" w:rsidR="00000000" w:rsidRPr="00000000">
        <w:rPr>
          <w:rtl w:val="0"/>
        </w:rPr>
        <w:t xml:space="preserve">weighting of negative impact</w:t>
      </w:r>
      <w:r w:rsidDel="00000000" w:rsidR="00000000" w:rsidRPr="00000000">
        <w:rPr>
          <w:rtl w:val="0"/>
        </w:rPr>
        <w:br w:type="textWrapping"/>
        <w:t xml:space="preserve">  </w:t>
      </w:r>
      <w:r w:rsidDel="00000000" w:rsidR="00000000" w:rsidRPr="00000000">
        <w:rPr>
          <w:shd w:fill="efefef" w:val="clear"/>
          <w:rtl w:val="0"/>
        </w:rPr>
        <w:t xml:space="preserve">A = 3.0 | B = 2.0 | C = 1.5 | D = 1.2 | E = 1.0</w:t>
      </w:r>
    </w:p>
    <w:p w:rsidR="00000000" w:rsidDel="00000000" w:rsidP="00000000" w:rsidRDefault="00000000" w:rsidRPr="00000000" w14:paraId="0000007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line="360" w:lineRule="auto"/>
        <w:ind w:left="450" w:hanging="360"/>
      </w:pPr>
      <w:r w:rsidDel="00000000" w:rsidR="00000000" w:rsidRPr="00000000">
        <w:rPr>
          <w:rtl w:val="0"/>
        </w:rPr>
        <w:t xml:space="preserve">For long-term projects, NIU can be multiplied by the duration of effect (in months).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="36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IU-per-Euro is permitted as an external metric for funders.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100" w:before="0" w:beforeAutospacing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Romance remains scalable – but is rated as imprecise.</w:t>
      </w:r>
    </w:p>
    <w:p w:rsidR="00000000" w:rsidDel="00000000" w:rsidP="00000000" w:rsidRDefault="00000000" w:rsidRPr="00000000" w14:paraId="00000082">
      <w:pPr>
        <w:pStyle w:val="Heading3"/>
        <w:keepNext w:val="1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xc2ku9y13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2a 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Donation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donation only receives an EIU/NIU value if a verifiable effect (Δ %) is achieved using its funds.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Donation: 1,000€</w:t>
        <w:br w:type="textWrapping"/>
        <w:t xml:space="preserve"> Effect: 20% improvement of a baseline</w:t>
        <w:br w:type="textWrapping"/>
        <w:t xml:space="preserve"> Effort: 6 person-weeks</w:t>
        <w:br w:type="textWrapping"/>
        <w:t xml:space="preserve"> Effected: 500 people</w:t>
        <w:br w:type="textWrapping"/>
        <w:t xml:space="preserve"> CF: 0.8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i w:val="1"/>
          <w:shd w:fill="efefef" w:val="clear"/>
        </w:rPr>
      </w:pPr>
      <w:r w:rsidDel="00000000" w:rsidR="00000000" w:rsidRPr="00000000">
        <w:rPr>
          <w:i w:val="1"/>
          <w:rtl w:val="0"/>
        </w:rPr>
        <w:t xml:space="preserve">Calculation: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  </w:t>
      </w:r>
      <w:r w:rsidDel="00000000" w:rsidR="00000000" w:rsidRPr="00000000">
        <w:rPr>
          <w:i w:val="1"/>
          <w:shd w:fill="efefef" w:val="clear"/>
          <w:rtl w:val="0"/>
        </w:rPr>
        <w:t xml:space="preserve">EIU = (20 ÷ 6) × 0.8 = 2.67</w:t>
      </w:r>
      <w:r w:rsidDel="00000000" w:rsidR="00000000" w:rsidRPr="00000000">
        <w:rPr>
          <w:i w:val="1"/>
          <w:rtl w:val="0"/>
        </w:rPr>
        <w:br w:type="textWrapping"/>
        <w:t xml:space="preserve">  </w:t>
      </w:r>
      <w:r w:rsidDel="00000000" w:rsidR="00000000" w:rsidRPr="00000000">
        <w:rPr>
          <w:i w:val="1"/>
          <w:shd w:fill="efefef" w:val="clear"/>
          <w:rtl w:val="0"/>
        </w:rPr>
        <w:t xml:space="preserve">NIU = 20 × 500 × 0.8 = 8 000</w:t>
      </w:r>
      <w:r w:rsidDel="00000000" w:rsidR="00000000" w:rsidRPr="00000000">
        <w:rPr>
          <w:i w:val="1"/>
          <w:rtl w:val="0"/>
        </w:rPr>
        <w:br w:type="textWrapping"/>
        <w:t xml:space="preserve">  </w:t>
      </w:r>
      <w:r w:rsidDel="00000000" w:rsidR="00000000" w:rsidRPr="00000000">
        <w:rPr>
          <w:i w:val="1"/>
          <w:shd w:fill="efefef" w:val="clear"/>
          <w:rtl w:val="0"/>
        </w:rPr>
        <w:t xml:space="preserve">IU-per-Euro = 2.67 / 1000€ |  NIU-per-Euro = 8000 / 1000€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75h1hqyc9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2b Impact Signature (optional)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measure improves three or more different metrics at the same time and these are causally related, the effect can be summarized as a signature.</w:t>
      </w:r>
    </w:p>
    <w:p w:rsidR="00000000" w:rsidDel="00000000" w:rsidP="00000000" w:rsidRDefault="00000000" w:rsidRPr="00000000" w14:paraId="00000089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IU calculation:</w:t>
      </w:r>
    </w:p>
    <w:p w:rsidR="00000000" w:rsidDel="00000000" w:rsidP="00000000" w:rsidRDefault="00000000" w:rsidRPr="00000000" w14:paraId="0000008A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 – Δ% = weighted average of individual effects</w:t>
        <w:br w:type="textWrapping"/>
        <w:t xml:space="preserve"> – remaining formula as in EIU/NIU</w:t>
        <w:br w:type="textWrapping"/>
        <w:t xml:space="preserve"> – add note: “impact signature” in the ledger entry</w:t>
      </w:r>
    </w:p>
    <w:p w:rsidR="00000000" w:rsidDel="00000000" w:rsidP="00000000" w:rsidRDefault="00000000" w:rsidRPr="00000000" w14:paraId="0000008B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rtl w:val="0"/>
        </w:rPr>
        <w:t xml:space="preserve">This serves to bundle complex effects — not to inflate individual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216jydji8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3 Impulse Logic</w:t>
      </w:r>
    </w:p>
    <w:p w:rsidR="00000000" w:rsidDel="00000000" w:rsidP="00000000" w:rsidRDefault="00000000" w:rsidRPr="00000000" w14:paraId="0000008E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impulse package</w:t>
      </w:r>
      <w:r w:rsidDel="00000000" w:rsidR="00000000" w:rsidRPr="00000000">
        <w:rPr>
          <w:rtl w:val="0"/>
        </w:rPr>
        <w:t xml:space="preserve"> contains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1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goal &amp; metric (Δ % estimate)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1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list with estimated team-weeks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1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assessment (author or AI assist)</w:t>
      </w:r>
    </w:p>
    <w:p w:rsidR="00000000" w:rsidDel="00000000" w:rsidP="00000000" w:rsidRDefault="00000000" w:rsidRPr="00000000" w14:paraId="00000092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rule: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100" w:before="0" w:lineRule="auto"/>
        <w:ind w:left="45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 peer-OKs and no critical risk flag ⇒ package becomes a </w:t>
      </w:r>
      <w:r w:rsidDel="00000000" w:rsidR="00000000" w:rsidRPr="00000000">
        <w:rPr>
          <w:b w:val="1"/>
          <w:rtl w:val="0"/>
        </w:rPr>
        <w:t xml:space="preserve">Form </w:t>
      </w:r>
      <w:r w:rsidDel="00000000" w:rsidR="00000000" w:rsidRPr="00000000">
        <w:rPr>
          <w:rtl w:val="0"/>
        </w:rPr>
        <w:t xml:space="preserve">(Status: open)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(An AI system calibrated for this purpose may count as a peer if verified.)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100" w:before="0" w:lineRule="auto"/>
        <w:ind w:left="45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 OK or risk flag ⇒ clarification under § 6 of the statute.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100" w:before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 role is taken on – from this acceptance, action emerges.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100" w:before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impulse package is linked in the notes column of the corresponding ledger entry.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1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glsgvhzv8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4 Effect Ledger – Minimal Structure</w:t>
      </w:r>
    </w:p>
    <w:p w:rsidR="00000000" w:rsidDel="00000000" w:rsidP="00000000" w:rsidRDefault="00000000" w:rsidRPr="00000000" w14:paraId="00000099">
      <w:pPr>
        <w:keepNext w:val="1"/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columns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after="0" w:before="0" w:lineRule="auto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shd w:fill="efefef" w:val="clear"/>
          <w:rtl w:val="0"/>
        </w:rPr>
        <w:t xml:space="preserve">Form-ID | Target Metric | Before → After | Person-Weeks | Affected | CF | EIU | NIU | -IU | Status</w:t>
      </w: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00" w:before="4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100" w:before="0" w:lineRule="auto"/>
        <w:ind w:left="450" w:hanging="360"/>
        <w:rPr/>
      </w:pPr>
      <w:r w:rsidDel="00000000" w:rsidR="00000000" w:rsidRPr="00000000">
        <w:rPr>
          <w:rtl w:val="0"/>
        </w:rPr>
        <w:t xml:space="preserve">Create row, assign Form-ID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100" w:before="0" w:lineRule="auto"/>
        <w:ind w:left="450" w:hanging="360"/>
        <w:rPr/>
      </w:pPr>
      <w:r w:rsidDel="00000000" w:rsidR="00000000" w:rsidRPr="00000000">
        <w:rPr>
          <w:rtl w:val="0"/>
        </w:rPr>
        <w:t xml:space="preserve">Estimate initial value &amp; team-weeks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100" w:before="0" w:lineRule="auto"/>
        <w:ind w:left="450" w:hanging="360"/>
        <w:rPr/>
      </w:pPr>
      <w:r w:rsidDel="00000000" w:rsidR="00000000" w:rsidRPr="00000000">
        <w:rPr>
          <w:rtl w:val="0"/>
        </w:rPr>
        <w:t xml:space="preserve">Perform action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100" w:before="0" w:lineRule="auto"/>
        <w:ind w:left="45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result, affected people, and CF → EIU/NIU are calculated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100" w:before="0" w:lineRule="auto"/>
        <w:ind w:left="450" w:hanging="360"/>
        <w:rPr/>
      </w:pPr>
      <w:r w:rsidDel="00000000" w:rsidR="00000000" w:rsidRPr="00000000">
        <w:rPr>
          <w:rtl w:val="0"/>
        </w:rPr>
        <w:t xml:space="preserve">Set status (e.g. “done”); dormant coloring after 90 days automatically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CF-proof link for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400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Short logs may be kept daily and entered into the ledger quarterly.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qsc12i11p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5 Insurance &amp; Liability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risk-prone forms, the board may take out suitable insurance or engage external professionals.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Legal liability remains unaffected.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1d9gpe075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6 Open License Policy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Forms, technologies, models and documents may be published under open-source licenses (e.g. MIT, CC-BY).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100" w:before="240" w:lineRule="auto"/>
        <w:rPr>
          <w:b w:val="1"/>
          <w:color w:val="000000"/>
          <w:sz w:val="22"/>
          <w:szCs w:val="22"/>
        </w:rPr>
      </w:pPr>
      <w:bookmarkStart w:colFirst="0" w:colLast="0" w:name="_5n2vzpv9w0q2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Commercial use</w:t>
      </w:r>
    </w:p>
    <w:p w:rsidR="00000000" w:rsidDel="00000000" w:rsidP="00000000" w:rsidRDefault="00000000" w:rsidRPr="00000000" w14:paraId="000000AA">
      <w:pPr>
        <w:spacing w:after="100" w:lineRule="auto"/>
        <w:rPr/>
      </w:pPr>
      <w:r w:rsidDel="00000000" w:rsidR="00000000" w:rsidRPr="00000000">
        <w:rPr>
          <w:rtl w:val="0"/>
        </w:rPr>
        <w:t xml:space="preserve">Is license-free up to an annual revenue of €50,000 (exemption threshold).</w:t>
      </w:r>
    </w:p>
    <w:p w:rsidR="00000000" w:rsidDel="00000000" w:rsidP="00000000" w:rsidRDefault="00000000" w:rsidRPr="00000000" w14:paraId="000000AB">
      <w:pPr>
        <w:spacing w:after="100" w:lineRule="auto"/>
        <w:rPr/>
      </w:pPr>
      <w:r w:rsidDel="00000000" w:rsidR="00000000" w:rsidRPr="00000000">
        <w:rPr>
          <w:rtl w:val="0"/>
        </w:rPr>
        <w:t xml:space="preserve">Above this, a contribution to local IU projects is expected — in the form of a nonprofit-forwarded share (e.g. 5 % of the amount exceeding the threshold).</w:t>
      </w:r>
    </w:p>
    <w:p w:rsidR="00000000" w:rsidDel="00000000" w:rsidP="00000000" w:rsidRDefault="00000000" w:rsidRPr="00000000" w14:paraId="000000AC">
      <w:pPr>
        <w:spacing w:after="100" w:lineRule="auto"/>
        <w:rPr/>
      </w:pPr>
      <w:r w:rsidDel="00000000" w:rsidR="00000000" w:rsidRPr="00000000">
        <w:rPr>
          <w:rtl w:val="0"/>
        </w:rPr>
        <w:t xml:space="preserve">These contributions are not enforceable, but a reflection of structural integrity.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400" w:lineRule="auto"/>
        <w:rPr>
          <w:b w:val="1"/>
          <w:color w:val="000000"/>
          <w:sz w:val="22"/>
          <w:szCs w:val="22"/>
        </w:rPr>
      </w:pPr>
      <w:bookmarkStart w:colFirst="0" w:colLast="0" w:name="_4jjcyi99dzdh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Non-profit use</w:t>
      </w:r>
    </w:p>
    <w:p w:rsidR="00000000" w:rsidDel="00000000" w:rsidP="00000000" w:rsidRDefault="00000000" w:rsidRPr="00000000" w14:paraId="000000AE">
      <w:pPr>
        <w:spacing w:after="1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Permanently license-free, tied to the expectation of IU-oriented fund usage and transparent impact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vyyshkk3k0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Data Protection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Personal ledger data is processed exclusively in accordance with GDPR Art. 6 Sec. 1 lit. f.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what is required for impact measurement is collected.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b7suh4fcja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9 Internal Redistribution Rule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Surplus funds go to the nonprofit organization with the highest published </w:t>
      </w:r>
      <w:r w:rsidDel="00000000" w:rsidR="00000000" w:rsidRPr="00000000">
        <w:rPr>
          <w:b w:val="1"/>
          <w:rtl w:val="0"/>
        </w:rPr>
        <w:t xml:space="preserve">IU-per-Euro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 xml:space="preserve">If values are nearly equal, the board decides at its reasonable discretion.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statute is a form. It is meant to sit well with those who carry it.)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[End of Framework – version forma-03-03-2025-00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– institut.forma@protonmail.com</w:t>
      </w:r>
      <w:r w:rsidDel="00000000" w:rsidR="00000000" w:rsidRPr="00000000">
        <w:rPr>
          <w:b w:val="1"/>
          <w:rtl w:val="0"/>
        </w:rPr>
        <w:t xml:space="preserve">]</w:t>
      </w:r>
    </w:p>
    <w:sectPr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(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→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(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(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(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⧫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(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