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Rule="auto"/>
        <w:rPr>
          <w:b w:val="1"/>
          <w:sz w:val="26"/>
          <w:szCs w:val="26"/>
        </w:rPr>
      </w:pPr>
      <w:r w:rsidDel="00000000" w:rsidR="00000000" w:rsidRPr="00000000">
        <w:rPr>
          <w:b w:val="1"/>
          <w:sz w:val="24"/>
          <w:szCs w:val="24"/>
          <w:rtl w:val="0"/>
        </w:rPr>
        <w:t xml:space="preserve">GALT and the Loss of Immune Training</w:t>
        <w:br w:type="textWrapping"/>
      </w:r>
      <w:r w:rsidDel="00000000" w:rsidR="00000000" w:rsidRPr="00000000">
        <w:rPr>
          <w:i w:val="1"/>
          <w:rtl w:val="0"/>
        </w:rPr>
        <w:t xml:space="preserve">Institut für Strukturelle Integrität – version restituere</w:t>
      </w:r>
      <w:r w:rsidDel="00000000" w:rsidR="00000000" w:rsidRPr="00000000">
        <w:rPr>
          <w:i w:val="1"/>
          <w:rtl w:val="0"/>
        </w:rPr>
        <w:t xml:space="preserve">-26-03-2025-</w:t>
      </w:r>
      <w:r w:rsidDel="00000000" w:rsidR="00000000" w:rsidRPr="00000000">
        <w:rPr>
          <w:i w:val="1"/>
          <w:rtl w:val="0"/>
        </w:rPr>
        <w:t xml:space="preserve">1c - (CC BY-SA 4.0)</w:t>
      </w:r>
      <w:r w:rsidDel="00000000" w:rsidR="00000000" w:rsidRPr="00000000">
        <w:rPr>
          <w:rtl w:val="0"/>
        </w:rPr>
      </w:r>
    </w:p>
    <w:p w:rsidR="00000000" w:rsidDel="00000000" w:rsidP="00000000" w:rsidRDefault="00000000" w:rsidRPr="00000000" w14:paraId="00000002">
      <w:pPr>
        <w:ind w:left="45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Gut-Associated Lymphoid Tissue (GALT) represents the largest immune interface in the human body. Its primary function is not reaction, but regulation: the continuous calibration of tolerance through exposure to microbial, dietary, and environmental inputs.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In early life, GALT development is shaped by microbial diversity, contact with non-sterile environments, and dietary complexity. These exposures allow the immune system to construct accurate models of what belongs and what does not — a process sometimes described as immunological education.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Over the last several decades, the baseline conditions required for this calibration have shifted.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Microbial exposure has decreased. Dietary substrates have narrowed. Environmental inputs have become more uniform, more sterilized, and more processed. Antibiotic use remains high. Caesarean birth rates, early-life sanitization, and reduced outdoor exposure further limit the diversity and density of microbial contact during critical development windows.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As a result, GALT activity is increasingly based on incomplete or distorted input.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immune system continues to operate, but it does so in a degraded learning environment. The models it builds — of food, of bacteria, of tissue boundaries — carry more error. These errors manifest not as immediate system failure, but as long-term misregulation: inappropriate inflammation, loss of tolerance, and chronic physiological noise.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This condition is not formally classified. But its symptoms are broadly visible.</w:t>
      </w:r>
    </w:p>
    <w:p w:rsidR="00000000" w:rsidDel="00000000" w:rsidP="00000000" w:rsidRDefault="00000000" w:rsidRPr="00000000" w14:paraId="0000000A">
      <w:pPr>
        <w:ind w:left="4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450"/>
        <w:rPr>
          <w:b w:val="1"/>
          <w:color w:val="000000"/>
          <w:sz w:val="26"/>
          <w:szCs w:val="26"/>
        </w:rPr>
      </w:pPr>
      <w:bookmarkStart w:colFirst="0" w:colLast="0" w:name="_epvp6ert9pjc" w:id="0"/>
      <w:bookmarkEnd w:id="0"/>
      <w:r w:rsidDel="00000000" w:rsidR="00000000" w:rsidRPr="00000000">
        <w:rPr>
          <w:b w:val="1"/>
          <w:color w:val="000000"/>
          <w:sz w:val="26"/>
          <w:szCs w:val="26"/>
          <w:rtl w:val="0"/>
        </w:rPr>
        <w:t xml:space="preserve">Observable Effects Across Scales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consequences of immune misregulation are not confined to clinical immunology. As regulatory capacity weakens, the effects become visible across multiple domains — psychological, social, and economic. These effects are diffuse, chronic, and typically addressed in isolation.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following overview outlines symptom patterns across four nested scales:</w:t>
      </w:r>
    </w:p>
    <w:p w:rsidR="00000000" w:rsidDel="00000000" w:rsidP="00000000" w:rsidRDefault="00000000" w:rsidRPr="00000000" w14:paraId="0000000E">
      <w:pPr>
        <w:ind w:left="4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ind w:left="450"/>
        <w:rPr>
          <w:b w:val="1"/>
          <w:color w:val="000000"/>
          <w:sz w:val="22"/>
          <w:szCs w:val="22"/>
        </w:rPr>
      </w:pPr>
      <w:bookmarkStart w:colFirst="0" w:colLast="0" w:name="_9rozcivzdp0a" w:id="1"/>
      <w:bookmarkEnd w:id="1"/>
      <w:r w:rsidDel="00000000" w:rsidR="00000000" w:rsidRPr="00000000">
        <w:rPr>
          <w:b w:val="1"/>
          <w:color w:val="000000"/>
          <w:sz w:val="22"/>
          <w:szCs w:val="22"/>
          <w:rtl w:val="0"/>
        </w:rPr>
        <w:t xml:space="preserve">Individual</w:t>
      </w:r>
    </w:p>
    <w:p w:rsidR="00000000" w:rsidDel="00000000" w:rsidP="00000000" w:rsidRDefault="00000000" w:rsidRPr="00000000" w14:paraId="0000001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Persistent low-grade inflammation</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Food sensitivity without allergen confirmation</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IBS and functional gastrointestinal complaints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Cycles of fatigue unresponsive to rest</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Elevated baseline anxiety</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Cognitive friction (described as brain fog, reduced executive function)</w:t>
        <w:br w:type="textWrapping"/>
      </w:r>
    </w:p>
    <w:p w:rsidR="00000000" w:rsidDel="00000000" w:rsidP="00000000" w:rsidRDefault="00000000" w:rsidRPr="00000000" w14:paraId="00000016">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Increased reliance on symptom management pharmacology</w:t>
        <w:br w:type="textWrapping"/>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These symptoms often present without conclusive diagnostic markers. Individuals are left navigating patterns of dysfunction not formally classified as disease.</w:t>
      </w:r>
    </w:p>
    <w:p w:rsidR="00000000" w:rsidDel="00000000" w:rsidP="00000000" w:rsidRDefault="00000000" w:rsidRPr="00000000" w14:paraId="00000018">
      <w:pPr>
        <w:ind w:left="4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ind w:left="450"/>
        <w:rPr>
          <w:b w:val="1"/>
          <w:color w:val="000000"/>
          <w:sz w:val="22"/>
          <w:szCs w:val="22"/>
        </w:rPr>
      </w:pPr>
      <w:bookmarkStart w:colFirst="0" w:colLast="0" w:name="_yov8zf6dtsi" w:id="2"/>
      <w:bookmarkEnd w:id="2"/>
      <w:r w:rsidDel="00000000" w:rsidR="00000000" w:rsidRPr="00000000">
        <w:rPr>
          <w:b w:val="1"/>
          <w:color w:val="000000"/>
          <w:sz w:val="22"/>
          <w:szCs w:val="22"/>
          <w:rtl w:val="0"/>
        </w:rPr>
        <w:t xml:space="preserve">Local Systems (Households, Workplaces, Schools)</w:t>
      </w:r>
    </w:p>
    <w:p w:rsidR="00000000" w:rsidDel="00000000" w:rsidP="00000000" w:rsidRDefault="00000000" w:rsidRPr="00000000" w14:paraId="0000001A">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Rising reports of non-specific absenteeism</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Difficulty sustaining attention or workload under standard conditions</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Emotional volatility in environments previously stable</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Increased use of compensatory structures (e.g. noise-canceling devices, flexible scheduling, supplemental educational support)</w:t>
        <w:br w:type="textWrapping"/>
      </w:r>
    </w:p>
    <w:p w:rsidR="00000000" w:rsidDel="00000000" w:rsidP="00000000" w:rsidRDefault="00000000" w:rsidRPr="00000000" w14:paraId="0000001E">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Reduced thresholds for conflict, overload, or withdrawal</w:t>
        <w:br w:type="textWrapping"/>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In many cases, local institutions attempt to accommodate without tracing the physiological basis for decline. The result is structural compensation rather than root-level correction.</w:t>
      </w:r>
    </w:p>
    <w:p w:rsidR="00000000" w:rsidDel="00000000" w:rsidP="00000000" w:rsidRDefault="00000000" w:rsidRPr="00000000" w14:paraId="00000020">
      <w:pPr>
        <w:ind w:left="4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ind w:left="450"/>
        <w:rPr>
          <w:b w:val="1"/>
          <w:color w:val="000000"/>
          <w:sz w:val="22"/>
          <w:szCs w:val="22"/>
        </w:rPr>
      </w:pPr>
      <w:bookmarkStart w:colFirst="0" w:colLast="0" w:name="_ryf84p4d75sj" w:id="3"/>
      <w:bookmarkEnd w:id="3"/>
      <w:r w:rsidDel="00000000" w:rsidR="00000000" w:rsidRPr="00000000">
        <w:rPr>
          <w:b w:val="1"/>
          <w:color w:val="000000"/>
          <w:sz w:val="22"/>
          <w:szCs w:val="22"/>
          <w:rtl w:val="0"/>
        </w:rPr>
        <w:t xml:space="preserve">Regional Infrastructure (Healthcare, Insurance, Education)</w:t>
      </w:r>
    </w:p>
    <w:p w:rsidR="00000000" w:rsidDel="00000000" w:rsidP="00000000" w:rsidRDefault="00000000" w:rsidRPr="00000000" w14:paraId="0000002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Increased visits to general practitioners for diffuse complaints</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Escalation in antidepressant, anxiolytic, and gut-regulation prescriptions</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Chronicity in primary care patient loads</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Rising disability claims related to fatigue, autoimmunity, and functional disorders</w:t>
        <w:br w:type="textWrapping"/>
      </w:r>
    </w:p>
    <w:p w:rsidR="00000000" w:rsidDel="00000000" w:rsidP="00000000" w:rsidRDefault="00000000" w:rsidRPr="00000000" w14:paraId="00000026">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Pressure on education systems due to concentration, behavioral, or cognitive regulation issues</w:t>
        <w:br w:type="textWrapping"/>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Despite growing burden, these patterns remain distributed across diagnostic categories, rendering the underlying cause invisible at policy level.</w:t>
      </w:r>
    </w:p>
    <w:p w:rsidR="00000000" w:rsidDel="00000000" w:rsidP="00000000" w:rsidRDefault="00000000" w:rsidRPr="00000000" w14:paraId="00000028">
      <w:pPr>
        <w:ind w:left="4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ind w:left="450"/>
        <w:rPr>
          <w:b w:val="1"/>
          <w:color w:val="000000"/>
          <w:sz w:val="22"/>
          <w:szCs w:val="22"/>
        </w:rPr>
      </w:pPr>
      <w:bookmarkStart w:colFirst="0" w:colLast="0" w:name="_sj0xoe30056z" w:id="4"/>
      <w:bookmarkEnd w:id="4"/>
      <w:r w:rsidDel="00000000" w:rsidR="00000000" w:rsidRPr="00000000">
        <w:rPr>
          <w:b w:val="1"/>
          <w:color w:val="000000"/>
          <w:sz w:val="22"/>
          <w:szCs w:val="22"/>
          <w:rtl w:val="0"/>
        </w:rPr>
        <w:t xml:space="preserve">Macroeconomic Impact</w:t>
      </w:r>
    </w:p>
    <w:p w:rsidR="00000000" w:rsidDel="00000000" w:rsidP="00000000" w:rsidRDefault="00000000" w:rsidRPr="00000000" w14:paraId="0000002A">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Reduced labor productivity and planning capacity</w:t>
        <w:br w:type="textWrapping"/>
      </w:r>
    </w:p>
    <w:p w:rsidR="00000000" w:rsidDel="00000000" w:rsidP="00000000" w:rsidRDefault="00000000" w:rsidRPr="00000000" w14:paraId="0000002B">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Long-term sick leave increasing in knowledge-based and care economies</w:t>
        <w:br w:type="textWrapping"/>
      </w:r>
    </w:p>
    <w:p w:rsidR="00000000" w:rsidDel="00000000" w:rsidP="00000000" w:rsidRDefault="00000000" w:rsidRPr="00000000" w14:paraId="0000002C">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Increased financial strain on public health systems from chronic management</w:t>
        <w:br w:type="textWrapping"/>
      </w:r>
    </w:p>
    <w:p w:rsidR="00000000" w:rsidDel="00000000" w:rsidP="00000000" w:rsidRDefault="00000000" w:rsidRPr="00000000" w14:paraId="0000002D">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Latent costs associated with lost civic resilience and adaptive bandwidth</w:t>
        <w:br w:type="textWrapping"/>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This is not recognized as an economic crisis. Yet the cumulative effect of misregulated physiology — occurring at scale — reduces systemic functionality across sectors.</w:t>
      </w:r>
    </w:p>
    <w:p w:rsidR="00000000" w:rsidDel="00000000" w:rsidP="00000000" w:rsidRDefault="00000000" w:rsidRPr="00000000" w14:paraId="0000002F">
      <w:pPr>
        <w:ind w:left="45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j46424xq3wh1" w:id="5"/>
      <w:bookmarkEnd w:id="5"/>
      <w:r w:rsidDel="00000000" w:rsidR="00000000" w:rsidRPr="00000000">
        <w:rPr>
          <w:b w:val="1"/>
          <w:color w:val="000000"/>
          <w:sz w:val="26"/>
          <w:szCs w:val="26"/>
          <w:rtl w:val="0"/>
        </w:rPr>
        <w:t xml:space="preserve">Not a Disease. A Drift.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What is occurring is not a defined pathology. It does not conform to the structures of acute illness, nor does it fit within existing diagnostic systems. The immune system continues to function, but the conditions under which it was trained — and the signals it now receives — no longer align.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The inputs once necessary for tolerance development — diverse microbial contact, non-sterile environmental exposure, complex unprocessed diets — have been reduced or replaced. What enters the system now is filtered, fragmented, and often biologically unfamiliar. In response, regulatory capacity degrades quietly. Inflammatory thresholds lower. Tolerance becomes inconsistent. Resilience becomes conditional.</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result is not immediate dysfunction, but systemic noise.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This noise appears in the form of chronic low-grade inflammation, inappropriate immune activation, loss of boundary discernment, and an increasing reliance on compensatory behaviors, both individual and institutional.</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None of this requires new classification. It requires accurate framing.</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drift is measurable in its effects, even if it remains unnamed.</w:t>
      </w:r>
    </w:p>
    <w:p w:rsidR="00000000" w:rsidDel="00000000" w:rsidP="00000000" w:rsidRDefault="00000000" w:rsidRPr="00000000" w14:paraId="00000037">
      <w:pPr>
        <w:ind w:left="4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lkfrbtm391ii" w:id="6"/>
      <w:bookmarkEnd w:id="6"/>
      <w:r w:rsidDel="00000000" w:rsidR="00000000" w:rsidRPr="00000000">
        <w:rPr>
          <w:b w:val="1"/>
          <w:color w:val="000000"/>
          <w:sz w:val="26"/>
          <w:szCs w:val="26"/>
          <w:rtl w:val="0"/>
        </w:rPr>
        <w:t xml:space="preserve">System Conditions Enabling Collapse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loss of physiological coherence across immune-regulated populations is not the result of a singular disruption. It emerges from multiple converging conditions that alter the inputs required for tolerance acquisition and regulatory balance.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following factors are consistently present in affected environments:</w:t>
      </w:r>
    </w:p>
    <w:p w:rsidR="00000000" w:rsidDel="00000000" w:rsidP="00000000" w:rsidRDefault="00000000" w:rsidRPr="00000000" w14:paraId="0000003B">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Reduced microbial diversity in early life</w:t>
        <w:br w:type="textWrapping"/>
      </w:r>
    </w:p>
    <w:p w:rsidR="00000000" w:rsidDel="00000000" w:rsidP="00000000" w:rsidRDefault="00000000" w:rsidRPr="00000000" w14:paraId="0000003C">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Caesarean section prevalence</w:t>
        <w:br w:type="textWrapping"/>
      </w:r>
    </w:p>
    <w:p w:rsidR="00000000" w:rsidDel="00000000" w:rsidP="00000000" w:rsidRDefault="00000000" w:rsidRPr="00000000" w14:paraId="0000003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Decline in breastfeeding rates</w:t>
        <w:br w:type="textWrapping"/>
      </w:r>
    </w:p>
    <w:p w:rsidR="00000000" w:rsidDel="00000000" w:rsidP="00000000" w:rsidRDefault="00000000" w:rsidRPr="00000000" w14:paraId="0000003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Household sanitization practices</w:t>
        <w:br w:type="textWrapping"/>
      </w:r>
    </w:p>
    <w:p w:rsidR="00000000" w:rsidDel="00000000" w:rsidP="00000000" w:rsidRDefault="00000000" w:rsidRPr="00000000" w14:paraId="0000003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Limited soil, animal, and peer microbial exchange</w:t>
        <w:br w:type="textWrapping"/>
      </w:r>
    </w:p>
    <w:p w:rsidR="00000000" w:rsidDel="00000000" w:rsidP="00000000" w:rsidRDefault="00000000" w:rsidRPr="00000000" w14:paraId="00000040">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Widespread use of broad-spectrum antibiotics</w:t>
        <w:br w:type="textWrapping"/>
      </w:r>
    </w:p>
    <w:p w:rsidR="00000000" w:rsidDel="00000000" w:rsidP="00000000" w:rsidRDefault="00000000" w:rsidRPr="00000000" w14:paraId="00000041">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In pediatric care, often before age two</w:t>
        <w:br w:type="textWrapping"/>
      </w:r>
    </w:p>
    <w:p w:rsidR="00000000" w:rsidDel="00000000" w:rsidP="00000000" w:rsidRDefault="00000000" w:rsidRPr="00000000" w14:paraId="00000042">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In livestock and environmental reservoirs</w:t>
        <w:br w:type="textWrapping"/>
      </w:r>
    </w:p>
    <w:p w:rsidR="00000000" w:rsidDel="00000000" w:rsidP="00000000" w:rsidRDefault="00000000" w:rsidRPr="00000000" w14:paraId="00000043">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Disruption of post-antibiotic recolonization</w:t>
        <w:br w:type="textWrapping"/>
      </w:r>
    </w:p>
    <w:p w:rsidR="00000000" w:rsidDel="00000000" w:rsidP="00000000" w:rsidRDefault="00000000" w:rsidRPr="00000000" w14:paraId="00000044">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Highly processed dietary substrates</w:t>
        <w:br w:type="textWrapping"/>
      </w:r>
    </w:p>
    <w:p w:rsidR="00000000" w:rsidDel="00000000" w:rsidP="00000000" w:rsidRDefault="00000000" w:rsidRPr="00000000" w14:paraId="00000045">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Reduced fiber variability</w:t>
        <w:br w:type="textWrapping"/>
      </w:r>
    </w:p>
    <w:p w:rsidR="00000000" w:rsidDel="00000000" w:rsidP="00000000" w:rsidRDefault="00000000" w:rsidRPr="00000000" w14:paraId="00000046">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Chemical emulsifiers affecting mucosal interface</w:t>
        <w:br w:type="textWrapping"/>
      </w:r>
    </w:p>
    <w:p w:rsidR="00000000" w:rsidDel="00000000" w:rsidP="00000000" w:rsidRDefault="00000000" w:rsidRPr="00000000" w14:paraId="00000047">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Uniformity of industrial food supply</w:t>
        <w:br w:type="textWrapping"/>
      </w:r>
    </w:p>
    <w:p w:rsidR="00000000" w:rsidDel="00000000" w:rsidP="00000000" w:rsidRDefault="00000000" w:rsidRPr="00000000" w14:paraId="00000048">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Low variability in environmental exposure</w:t>
        <w:br w:type="textWrapping"/>
      </w:r>
    </w:p>
    <w:p w:rsidR="00000000" w:rsidDel="00000000" w:rsidP="00000000" w:rsidRDefault="00000000" w:rsidRPr="00000000" w14:paraId="00000049">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Indoor majority living</w:t>
        <w:br w:type="textWrapping"/>
      </w:r>
    </w:p>
    <w:p w:rsidR="00000000" w:rsidDel="00000000" w:rsidP="00000000" w:rsidRDefault="00000000" w:rsidRPr="00000000" w14:paraId="0000004A">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Air-conditioned and filtered environments</w:t>
        <w:br w:type="textWrapping"/>
      </w:r>
    </w:p>
    <w:p w:rsidR="00000000" w:rsidDel="00000000" w:rsidP="00000000" w:rsidRDefault="00000000" w:rsidRPr="00000000" w14:paraId="0000004B">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Limited temperature and particulate range</w:t>
        <w:br w:type="textWrapping"/>
      </w:r>
    </w:p>
    <w:p w:rsidR="00000000" w:rsidDel="00000000" w:rsidP="00000000" w:rsidRDefault="00000000" w:rsidRPr="00000000" w14:paraId="0000004C">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Lack of structured recalibration protocols</w:t>
        <w:br w:type="textWrapping"/>
      </w:r>
    </w:p>
    <w:p w:rsidR="00000000" w:rsidDel="00000000" w:rsidP="00000000" w:rsidRDefault="00000000" w:rsidRPr="00000000" w14:paraId="0000004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No post-intervention retraining for immune systems</w:t>
        <w:br w:type="textWrapping"/>
      </w:r>
    </w:p>
    <w:p w:rsidR="00000000" w:rsidDel="00000000" w:rsidP="00000000" w:rsidRDefault="00000000" w:rsidRPr="00000000" w14:paraId="0000004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Absence of microbial restoration post-antibiotic use</w:t>
        <w:br w:type="textWrapping"/>
      </w:r>
    </w:p>
    <w:p w:rsidR="00000000" w:rsidDel="00000000" w:rsidP="00000000" w:rsidRDefault="00000000" w:rsidRPr="00000000" w14:paraId="0000004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Limited institutional understanding of tolerance re-establishment</w:t>
        <w:br w:type="textWrapping"/>
      </w:r>
    </w:p>
    <w:p w:rsidR="00000000" w:rsidDel="00000000" w:rsidP="00000000" w:rsidRDefault="00000000" w:rsidRPr="00000000" w14:paraId="00000050">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Education and health systems not configured for tolerance models</w:t>
        <w:br w:type="textWrapping"/>
      </w:r>
    </w:p>
    <w:p w:rsidR="00000000" w:rsidDel="00000000" w:rsidP="00000000" w:rsidRDefault="00000000" w:rsidRPr="00000000" w14:paraId="00000051">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Focus on response and suppression over calibration</w:t>
        <w:br w:type="textWrapping"/>
      </w:r>
    </w:p>
    <w:p w:rsidR="00000000" w:rsidDel="00000000" w:rsidP="00000000" w:rsidRDefault="00000000" w:rsidRPr="00000000" w14:paraId="00000052">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Fragmentation of physiological and psychological domains</w:t>
        <w:br w:type="textWrapping"/>
      </w:r>
    </w:p>
    <w:p w:rsidR="00000000" w:rsidDel="00000000" w:rsidP="00000000" w:rsidRDefault="00000000" w:rsidRPr="00000000" w14:paraId="00000053">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No standard framework for immune re-alignment</w:t>
        <w:br w:type="textWrapping"/>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These conditions are consistent across urban and industrialized populations. Their cumulative effect is structural, persistent, and self-reinforcing.</w:t>
      </w:r>
    </w:p>
    <w:p w:rsidR="00000000" w:rsidDel="00000000" w:rsidP="00000000" w:rsidRDefault="00000000" w:rsidRPr="00000000" w14:paraId="00000055">
      <w:pPr>
        <w:keepNext w:val="1"/>
        <w:ind w:left="45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1"/>
        <w:keepLines w:val="0"/>
        <w:spacing w:before="280" w:lineRule="auto"/>
        <w:rPr>
          <w:b w:val="1"/>
          <w:color w:val="000000"/>
          <w:sz w:val="26"/>
          <w:szCs w:val="26"/>
        </w:rPr>
      </w:pPr>
      <w:bookmarkStart w:colFirst="0" w:colLast="0" w:name="_raetnkm2i88o" w:id="7"/>
      <w:bookmarkEnd w:id="7"/>
      <w:r w:rsidDel="00000000" w:rsidR="00000000" w:rsidRPr="00000000">
        <w:rPr>
          <w:b w:val="1"/>
          <w:color w:val="000000"/>
          <w:sz w:val="26"/>
          <w:szCs w:val="26"/>
          <w:rtl w:val="0"/>
        </w:rPr>
        <w:t xml:space="preserve">Classification Status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condition described in this document is not classified as a medical diagnosis, syndrome, or reportable public health category. Its component expressions—autoimmunity, gastrointestinal disorders, chronic fatigue, depressive symptoms, neuroinflammation—are segmented across specialties and coded independently.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There is no unified framework in clinical or policy infrastructure to account for system-wide tolerance degradation driven by disrupted immune training.</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This absence of classification is not indicative of irrelevance. It reflects a structural limitation in how physiological data is segmented, named, and treated. Most systems are optimized for discrete pathology, not distributed drift.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observations outlined here remain visible regardless of formal recognition.</w:t>
      </w:r>
    </w:p>
    <w:p w:rsidR="00000000" w:rsidDel="00000000" w:rsidP="00000000" w:rsidRDefault="00000000" w:rsidRPr="00000000" w14:paraId="0000005B">
      <w:pPr>
        <w:ind w:left="4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1se7ls3b026z" w:id="8"/>
      <w:bookmarkEnd w:id="8"/>
      <w:r w:rsidDel="00000000" w:rsidR="00000000" w:rsidRPr="00000000">
        <w:rPr>
          <w:b w:val="1"/>
          <w:color w:val="000000"/>
          <w:sz w:val="26"/>
          <w:szCs w:val="26"/>
          <w:rtl w:val="0"/>
        </w:rPr>
        <w:t xml:space="preserve">Reference Layer</w:t>
      </w:r>
    </w:p>
    <w:p w:rsidR="00000000" w:rsidDel="00000000" w:rsidP="00000000" w:rsidRDefault="00000000" w:rsidRPr="00000000" w14:paraId="0000005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Macpherson AJ, et al. </w:t>
      </w:r>
      <w:r w:rsidDel="00000000" w:rsidR="00000000" w:rsidRPr="00000000">
        <w:rPr>
          <w:i w:val="1"/>
          <w:sz w:val="24"/>
          <w:szCs w:val="24"/>
          <w:rtl w:val="0"/>
        </w:rPr>
        <w:t xml:space="preserve">Immunity and tolerance in the intestinal immune system.</w:t>
      </w:r>
      <w:r w:rsidDel="00000000" w:rsidR="00000000" w:rsidRPr="00000000">
        <w:rPr>
          <w:rFonts w:ascii="Arial Unicode MS" w:cs="Arial Unicode MS" w:eastAsia="Arial Unicode MS" w:hAnsi="Arial Unicode MS"/>
          <w:sz w:val="24"/>
          <w:szCs w:val="24"/>
          <w:rtl w:val="0"/>
        </w:rPr>
        <w:t xml:space="preserve"> Nature Reviews Immunology. 2012;12(9):660–670.</w:t>
        <w:br w:type="textWrapping"/>
        <w:t xml:space="preserve"> → Establishes the central role of GALT in immune education.</w:t>
        <w:br w:type="textWrapping"/>
      </w:r>
    </w:p>
    <w:p w:rsidR="00000000" w:rsidDel="00000000" w:rsidP="00000000" w:rsidRDefault="00000000" w:rsidRPr="00000000" w14:paraId="0000005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Belkaid Y, Hand TW. </w:t>
      </w:r>
      <w:r w:rsidDel="00000000" w:rsidR="00000000" w:rsidRPr="00000000">
        <w:rPr>
          <w:i w:val="1"/>
          <w:sz w:val="24"/>
          <w:szCs w:val="24"/>
          <w:rtl w:val="0"/>
        </w:rPr>
        <w:t xml:space="preserve">Role of the microbiota in immunity and inflammation.</w:t>
      </w:r>
      <w:r w:rsidDel="00000000" w:rsidR="00000000" w:rsidRPr="00000000">
        <w:rPr>
          <w:rFonts w:ascii="Arial Unicode MS" w:cs="Arial Unicode MS" w:eastAsia="Arial Unicode MS" w:hAnsi="Arial Unicode MS"/>
          <w:sz w:val="24"/>
          <w:szCs w:val="24"/>
          <w:rtl w:val="0"/>
        </w:rPr>
        <w:t xml:space="preserve"> Cell. 2014;157(1):121–141.</w:t>
        <w:br w:type="textWrapping"/>
        <w:t xml:space="preserve"> → Reviews the interaction between microbial diversity and immune regulation.</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Rook GA. </w:t>
      </w:r>
      <w:r w:rsidDel="00000000" w:rsidR="00000000" w:rsidRPr="00000000">
        <w:rPr>
          <w:i w:val="1"/>
          <w:sz w:val="24"/>
          <w:szCs w:val="24"/>
          <w:rtl w:val="0"/>
        </w:rPr>
        <w:t xml:space="preserve">Regulation of the immune system by biodiversity from the natural environment: An ecosystem service essential to health.</w:t>
      </w:r>
      <w:r w:rsidDel="00000000" w:rsidR="00000000" w:rsidRPr="00000000">
        <w:rPr>
          <w:rFonts w:ascii="Arial Unicode MS" w:cs="Arial Unicode MS" w:eastAsia="Arial Unicode MS" w:hAnsi="Arial Unicode MS"/>
          <w:sz w:val="24"/>
          <w:szCs w:val="24"/>
          <w:rtl w:val="0"/>
        </w:rPr>
        <w:t xml:space="preserve"> Proc Natl Acad Sci U S A. 2013;110(46):18360–18367.</w:t>
        <w:br w:type="textWrapping"/>
        <w:t xml:space="preserve"> → Frames microbial exposure as a necessary environmental input.</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Shreiner AB, et al. </w:t>
      </w:r>
      <w:r w:rsidDel="00000000" w:rsidR="00000000" w:rsidRPr="00000000">
        <w:rPr>
          <w:i w:val="1"/>
          <w:sz w:val="24"/>
          <w:szCs w:val="24"/>
          <w:rtl w:val="0"/>
        </w:rPr>
        <w:t xml:space="preserve">The gut microbiome in health and in disease.</w:t>
      </w:r>
      <w:r w:rsidDel="00000000" w:rsidR="00000000" w:rsidRPr="00000000">
        <w:rPr>
          <w:rFonts w:ascii="Arial Unicode MS" w:cs="Arial Unicode MS" w:eastAsia="Arial Unicode MS" w:hAnsi="Arial Unicode MS"/>
          <w:sz w:val="24"/>
          <w:szCs w:val="24"/>
          <w:rtl w:val="0"/>
        </w:rPr>
        <w:t xml:space="preserve"> Curr Opin Gastroenterol. 2015;31(1):69–75.</w:t>
        <w:br w:type="textWrapping"/>
        <w:t xml:space="preserve"> → Links altered gut microbiota with chronic gastrointestinal and systemic inflammation.</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Logan AC, Jacka FN. </w:t>
      </w:r>
      <w:r w:rsidDel="00000000" w:rsidR="00000000" w:rsidRPr="00000000">
        <w:rPr>
          <w:i w:val="1"/>
          <w:sz w:val="24"/>
          <w:szCs w:val="24"/>
          <w:rtl w:val="0"/>
        </w:rPr>
        <w:t xml:space="preserve">Nutrition, mental health and the microbiome.</w:t>
      </w:r>
      <w:r w:rsidDel="00000000" w:rsidR="00000000" w:rsidRPr="00000000">
        <w:rPr>
          <w:rFonts w:ascii="Arial Unicode MS" w:cs="Arial Unicode MS" w:eastAsia="Arial Unicode MS" w:hAnsi="Arial Unicode MS"/>
          <w:sz w:val="24"/>
          <w:szCs w:val="24"/>
          <w:rtl w:val="0"/>
        </w:rPr>
        <w:t xml:space="preserve"> Curr Opin Psychiatry. 2014;27(5):373–377.</w:t>
        <w:br w:type="textWrapping"/>
        <w:t xml:space="preserve"> → Describes microbiota’s role in cognitive and emotional regulation.</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WHO. </w:t>
      </w:r>
      <w:r w:rsidDel="00000000" w:rsidR="00000000" w:rsidRPr="00000000">
        <w:rPr>
          <w:i w:val="1"/>
          <w:sz w:val="24"/>
          <w:szCs w:val="24"/>
          <w:rtl w:val="0"/>
        </w:rPr>
        <w:t xml:space="preserve">Depression and Other Common Mental Disorders: Global Health Estimates.</w:t>
      </w:r>
      <w:r w:rsidDel="00000000" w:rsidR="00000000" w:rsidRPr="00000000">
        <w:rPr>
          <w:rFonts w:ascii="Arial Unicode MS" w:cs="Arial Unicode MS" w:eastAsia="Arial Unicode MS" w:hAnsi="Arial Unicode MS"/>
          <w:sz w:val="24"/>
          <w:szCs w:val="24"/>
          <w:rtl w:val="0"/>
        </w:rPr>
        <w:t xml:space="preserve"> Geneva: World Health Organization; 2017.</w:t>
        <w:br w:type="textWrapping"/>
        <w:t xml:space="preserve"> → Documents rising global burden of depression and chronic mood disorders.</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OECD. </w:t>
      </w:r>
      <w:r w:rsidDel="00000000" w:rsidR="00000000" w:rsidRPr="00000000">
        <w:rPr>
          <w:i w:val="1"/>
          <w:sz w:val="24"/>
          <w:szCs w:val="24"/>
          <w:rtl w:val="0"/>
        </w:rPr>
        <w:t xml:space="preserve">Sick on the Job? Myths and Realities about Mental Health and Work.</w:t>
      </w:r>
      <w:r w:rsidDel="00000000" w:rsidR="00000000" w:rsidRPr="00000000">
        <w:rPr>
          <w:rFonts w:ascii="Arial Unicode MS" w:cs="Arial Unicode MS" w:eastAsia="Arial Unicode MS" w:hAnsi="Arial Unicode MS"/>
          <w:sz w:val="24"/>
          <w:szCs w:val="24"/>
          <w:rtl w:val="0"/>
        </w:rPr>
        <w:t xml:space="preserve"> OECD Publishing, 2012.</w:t>
        <w:br w:type="textWrapping"/>
        <w:t xml:space="preserve"> → Links mental health-related immune dysfunction to workforce and economic strain.</w:t>
        <w:br w:type="textWrapping"/>
      </w:r>
    </w:p>
    <w:p w:rsidR="00000000" w:rsidDel="00000000" w:rsidP="00000000" w:rsidRDefault="00000000" w:rsidRPr="00000000" w14:paraId="00000064">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Gasaly N, et al. </w:t>
      </w:r>
      <w:r w:rsidDel="00000000" w:rsidR="00000000" w:rsidRPr="00000000">
        <w:rPr>
          <w:i w:val="1"/>
          <w:sz w:val="24"/>
          <w:szCs w:val="24"/>
          <w:rtl w:val="0"/>
        </w:rPr>
        <w:t xml:space="preserve">Gut–brain axis as a pathway for neuropsychiatric disorders.</w:t>
      </w:r>
      <w:r w:rsidDel="00000000" w:rsidR="00000000" w:rsidRPr="00000000">
        <w:rPr>
          <w:rFonts w:ascii="Arial Unicode MS" w:cs="Arial Unicode MS" w:eastAsia="Arial Unicode MS" w:hAnsi="Arial Unicode MS"/>
          <w:sz w:val="24"/>
          <w:szCs w:val="24"/>
          <w:rtl w:val="0"/>
        </w:rPr>
        <w:t xml:space="preserve"> Frontiers in Immunology. 2021;12:718207.</w:t>
        <w:br w:type="textWrapping"/>
        <w:t xml:space="preserve"> → Reviews immune signaling via gut-brain axis as an underlying factor in neurological patterns.</w:t>
      </w:r>
    </w:p>
    <w:p w:rsidR="00000000" w:rsidDel="00000000" w:rsidP="00000000" w:rsidRDefault="00000000" w:rsidRPr="00000000" w14:paraId="0000006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8l4vnh6fehle" w:id="9"/>
      <w:bookmarkEnd w:id="9"/>
      <w:r w:rsidDel="00000000" w:rsidR="00000000" w:rsidRPr="00000000">
        <w:rPr>
          <w:b w:val="1"/>
          <w:sz w:val="34"/>
          <w:szCs w:val="34"/>
          <w:rtl w:val="0"/>
        </w:rPr>
        <w:t xml:space="preserve">Appendix A</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Recovery Inputs and System Supports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This section outlines inputs that may support recalibration of immune tolerance following identified system drift. Interventions are ordered by physiological domain and aligned to known microbial, dietary, and neurological mechanisms. All entries assume a prior reduction in inflammation and barrier disruption.</w:t>
      </w:r>
    </w:p>
    <w:p w:rsidR="00000000" w:rsidDel="00000000" w:rsidP="00000000" w:rsidRDefault="00000000" w:rsidRPr="00000000" w14:paraId="00000069">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y33u28tphz34" w:id="10"/>
      <w:bookmarkEnd w:id="10"/>
      <w:r w:rsidDel="00000000" w:rsidR="00000000" w:rsidRPr="00000000">
        <w:rPr>
          <w:b w:val="1"/>
          <w:color w:val="000000"/>
          <w:sz w:val="26"/>
          <w:szCs w:val="26"/>
          <w:rtl w:val="0"/>
        </w:rPr>
        <w:t xml:space="preserve">Microbial Reconstitution</w:t>
      </w:r>
    </w:p>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Target:</w:t>
      </w:r>
      <w:r w:rsidDel="00000000" w:rsidR="00000000" w:rsidRPr="00000000">
        <w:rPr>
          <w:sz w:val="24"/>
          <w:szCs w:val="24"/>
          <w:rtl w:val="0"/>
        </w:rPr>
        <w:t xml:space="preserve"> Restoration of taxa associated with regulatory immune signaling and mucosal repair.</w:t>
      </w:r>
    </w:p>
    <w:p w:rsidR="00000000" w:rsidDel="00000000" w:rsidP="00000000" w:rsidRDefault="00000000" w:rsidRPr="00000000" w14:paraId="0000006C">
      <w:pPr>
        <w:spacing w:after="240" w:before="240" w:lineRule="auto"/>
        <w:rPr>
          <w:i w:val="1"/>
          <w:sz w:val="24"/>
          <w:szCs w:val="24"/>
        </w:rPr>
      </w:pPr>
      <w:r w:rsidDel="00000000" w:rsidR="00000000" w:rsidRPr="00000000">
        <w:rPr>
          <w:b w:val="1"/>
          <w:sz w:val="24"/>
          <w:szCs w:val="24"/>
          <w:rtl w:val="0"/>
        </w:rPr>
        <w:t xml:space="preserve">Key taxa of interest:</w:t>
        <w:br w:type="textWrapping"/>
      </w:r>
      <w:r w:rsidDel="00000000" w:rsidR="00000000" w:rsidRPr="00000000">
        <w:rPr>
          <w:sz w:val="24"/>
          <w:szCs w:val="24"/>
          <w:rtl w:val="0"/>
        </w:rPr>
        <w:t xml:space="preserve"> </w:t>
      </w:r>
      <w:r w:rsidDel="00000000" w:rsidR="00000000" w:rsidRPr="00000000">
        <w:rPr>
          <w:i w:val="1"/>
          <w:sz w:val="24"/>
          <w:szCs w:val="24"/>
          <w:rtl w:val="0"/>
        </w:rPr>
        <w:t xml:space="preserve">Faecalibacterium prausnitzii</w:t>
      </w:r>
      <w:r w:rsidDel="00000000" w:rsidR="00000000" w:rsidRPr="00000000">
        <w:rPr>
          <w:sz w:val="24"/>
          <w:szCs w:val="24"/>
          <w:rtl w:val="0"/>
        </w:rPr>
        <w:t xml:space="preserve">, </w:t>
      </w:r>
      <w:r w:rsidDel="00000000" w:rsidR="00000000" w:rsidRPr="00000000">
        <w:rPr>
          <w:i w:val="1"/>
          <w:sz w:val="24"/>
          <w:szCs w:val="24"/>
          <w:rtl w:val="0"/>
        </w:rPr>
        <w:t xml:space="preserve">Akkermansia muciniphila</w:t>
      </w:r>
      <w:r w:rsidDel="00000000" w:rsidR="00000000" w:rsidRPr="00000000">
        <w:rPr>
          <w:sz w:val="24"/>
          <w:szCs w:val="24"/>
          <w:rtl w:val="0"/>
        </w:rPr>
        <w:t xml:space="preserve">, </w:t>
      </w:r>
      <w:r w:rsidDel="00000000" w:rsidR="00000000" w:rsidRPr="00000000">
        <w:rPr>
          <w:i w:val="1"/>
          <w:sz w:val="24"/>
          <w:szCs w:val="24"/>
          <w:rtl w:val="0"/>
        </w:rPr>
        <w:t xml:space="preserve">Bifidobacterium longum</w:t>
      </w:r>
      <w:r w:rsidDel="00000000" w:rsidR="00000000" w:rsidRPr="00000000">
        <w:rPr>
          <w:sz w:val="24"/>
          <w:szCs w:val="24"/>
          <w:rtl w:val="0"/>
        </w:rPr>
        <w:t xml:space="preserve">, </w:t>
      </w:r>
      <w:r w:rsidDel="00000000" w:rsidR="00000000" w:rsidRPr="00000000">
        <w:rPr>
          <w:i w:val="1"/>
          <w:sz w:val="24"/>
          <w:szCs w:val="24"/>
          <w:rtl w:val="0"/>
        </w:rPr>
        <w:t xml:space="preserve">Clostridium cluster XIVa/XIVb</w:t>
      </w:r>
      <w:r w:rsidDel="00000000" w:rsidR="00000000" w:rsidRPr="00000000">
        <w:rPr>
          <w:sz w:val="24"/>
          <w:szCs w:val="24"/>
          <w:rtl w:val="0"/>
        </w:rPr>
        <w:t xml:space="preserve">, </w:t>
      </w:r>
      <w:r w:rsidDel="00000000" w:rsidR="00000000" w:rsidRPr="00000000">
        <w:rPr>
          <w:i w:val="1"/>
          <w:sz w:val="24"/>
          <w:szCs w:val="24"/>
          <w:rtl w:val="0"/>
        </w:rPr>
        <w:t xml:space="preserve">Roseburia spp.</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tl w:val="0"/>
        </w:rPr>
        <w:t xml:space="preserve">Inputs:</w:t>
      </w:r>
    </w:p>
    <w:p w:rsidR="00000000" w:rsidDel="00000000" w:rsidP="00000000" w:rsidRDefault="00000000" w:rsidRPr="00000000" w14:paraId="0000006E">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Resistant starch (e.g. green banana flour, ¼ tsp upward titration)</w:t>
        <w:br w:type="textWrapping"/>
      </w:r>
    </w:p>
    <w:p w:rsidR="00000000" w:rsidDel="00000000" w:rsidP="00000000" w:rsidRDefault="00000000" w:rsidRPr="00000000" w14:paraId="0000006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Cooked and cooled starches (parsnip, potato, oat)</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Inulin, pectin, and PHGG (5–10g combined/day)</w:t>
        <w:br w:type="textWrapping"/>
      </w:r>
    </w:p>
    <w:p w:rsidR="00000000" w:rsidDel="00000000" w:rsidP="00000000" w:rsidRDefault="00000000" w:rsidRPr="00000000" w14:paraId="0000007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Fermented food extracts (sauerkraut juice, kefir) in low-dose, post-inflammation phase</w:t>
        <w:br w:type="textWrapping"/>
      </w:r>
    </w:p>
    <w:p w:rsidR="00000000" w:rsidDel="00000000" w:rsidP="00000000" w:rsidRDefault="00000000" w:rsidRPr="00000000" w14:paraId="00000072">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Butyrate supplementation (sodium butyrate, tributyrin), if tolerated</w:t>
        <w:br w:type="textWrapping"/>
      </w:r>
    </w:p>
    <w:p w:rsidR="00000000" w:rsidDel="00000000" w:rsidP="00000000" w:rsidRDefault="00000000" w:rsidRPr="00000000" w14:paraId="00000073">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Avoid polyols and xylitol during initial recolonization</w:t>
        <w:br w:type="textWrapping"/>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Timeframe: Introduction over 2–4 weeks, single variable per 3–5 days. Observe for shifts in digestive regularity, mood baseline, dermatological inflammation, and joint sensitivity.</w:t>
      </w:r>
    </w:p>
    <w:p w:rsidR="00000000" w:rsidDel="00000000" w:rsidP="00000000" w:rsidRDefault="00000000" w:rsidRPr="00000000" w14:paraId="0000007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oec3lme4fwtx" w:id="11"/>
      <w:bookmarkEnd w:id="11"/>
      <w:r w:rsidDel="00000000" w:rsidR="00000000" w:rsidRPr="00000000">
        <w:rPr>
          <w:b w:val="1"/>
          <w:color w:val="000000"/>
          <w:sz w:val="26"/>
          <w:szCs w:val="26"/>
          <w:rtl w:val="0"/>
        </w:rPr>
        <w:t xml:space="preserve">Nervous System Modulation</w:t>
      </w:r>
    </w:p>
    <w:p w:rsidR="00000000" w:rsidDel="00000000" w:rsidP="00000000" w:rsidRDefault="00000000" w:rsidRPr="00000000" w14:paraId="00000077">
      <w:pPr>
        <w:spacing w:after="240" w:before="240" w:lineRule="auto"/>
        <w:rPr>
          <w:sz w:val="24"/>
          <w:szCs w:val="24"/>
        </w:rPr>
      </w:pPr>
      <w:r w:rsidDel="00000000" w:rsidR="00000000" w:rsidRPr="00000000">
        <w:rPr>
          <w:b w:val="1"/>
          <w:sz w:val="24"/>
          <w:szCs w:val="24"/>
          <w:rtl w:val="0"/>
        </w:rPr>
        <w:t xml:space="preserve">Target:</w:t>
      </w:r>
      <w:r w:rsidDel="00000000" w:rsidR="00000000" w:rsidRPr="00000000">
        <w:rPr>
          <w:sz w:val="24"/>
          <w:szCs w:val="24"/>
          <w:rtl w:val="0"/>
        </w:rPr>
        <w:t xml:space="preserve"> Restoration of parasympathetic tone and suppression of chronic sympathetic dominance.</w:t>
      </w:r>
    </w:p>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Inputs:</w:t>
      </w:r>
    </w:p>
    <w:p w:rsidR="00000000" w:rsidDel="00000000" w:rsidP="00000000" w:rsidRDefault="00000000" w:rsidRPr="00000000" w14:paraId="00000079">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Controlled breathing (resonance frequency or 4–4–6 pattern, 10–30 minutes/day)</w:t>
        <w:br w:type="textWrapping"/>
      </w:r>
    </w:p>
    <w:p w:rsidR="00000000" w:rsidDel="00000000" w:rsidP="00000000" w:rsidRDefault="00000000" w:rsidRPr="00000000" w14:paraId="0000007A">
      <w:pPr>
        <w:numPr>
          <w:ilvl w:val="0"/>
          <w:numId w:val="8"/>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Cold exposure (face immersion or cold rinse, ≤2 minutes)</w:t>
        <w:br w:type="textWrapping"/>
      </w:r>
    </w:p>
    <w:p w:rsidR="00000000" w:rsidDel="00000000" w:rsidP="00000000" w:rsidRDefault="00000000" w:rsidRPr="00000000" w14:paraId="0000007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Low-stimulus movement in outdoor environments</w:t>
        <w:br w:type="textWrapping"/>
      </w:r>
    </w:p>
    <w:p w:rsidR="00000000" w:rsidDel="00000000" w:rsidP="00000000" w:rsidRDefault="00000000" w:rsidRPr="00000000" w14:paraId="0000007C">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Vagal engagement (gargling, humming, exhale-hold cycles)</w:t>
        <w:br w:type="textWrapping"/>
      </w:r>
    </w:p>
    <w:p w:rsidR="00000000" w:rsidDel="00000000" w:rsidP="00000000" w:rsidRDefault="00000000" w:rsidRPr="00000000" w14:paraId="0000007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Sleep structure: Magnesium glycinate (200–400mg), reduced visual input pre-sleep, final meal ≥3 hours before rest phase.</w:t>
      </w:r>
    </w:p>
    <w:p w:rsidR="00000000" w:rsidDel="00000000" w:rsidP="00000000" w:rsidRDefault="00000000" w:rsidRPr="00000000" w14:paraId="0000007E">
      <w:pPr>
        <w:keepNext w:val="1"/>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1"/>
        <w:keepLines w:val="0"/>
        <w:spacing w:before="280" w:lineRule="auto"/>
        <w:rPr>
          <w:b w:val="1"/>
          <w:color w:val="000000"/>
          <w:sz w:val="26"/>
          <w:szCs w:val="26"/>
        </w:rPr>
      </w:pPr>
      <w:bookmarkStart w:colFirst="0" w:colLast="0" w:name="_aj973i1xvowq" w:id="12"/>
      <w:bookmarkEnd w:id="12"/>
      <w:r w:rsidDel="00000000" w:rsidR="00000000" w:rsidRPr="00000000">
        <w:rPr>
          <w:b w:val="1"/>
          <w:color w:val="000000"/>
          <w:sz w:val="26"/>
          <w:szCs w:val="26"/>
          <w:rtl w:val="0"/>
        </w:rPr>
        <w:t xml:space="preserve">Environmental Variability</w:t>
      </w:r>
    </w:p>
    <w:p w:rsidR="00000000" w:rsidDel="00000000" w:rsidP="00000000" w:rsidRDefault="00000000" w:rsidRPr="00000000" w14:paraId="00000080">
      <w:pPr>
        <w:keepNext w:val="1"/>
        <w:spacing w:after="240" w:before="240" w:lineRule="auto"/>
        <w:rPr>
          <w:sz w:val="24"/>
          <w:szCs w:val="24"/>
        </w:rPr>
      </w:pPr>
      <w:r w:rsidDel="00000000" w:rsidR="00000000" w:rsidRPr="00000000">
        <w:rPr>
          <w:b w:val="1"/>
          <w:sz w:val="24"/>
          <w:szCs w:val="24"/>
          <w:rtl w:val="0"/>
        </w:rPr>
        <w:t xml:space="preserve">Target:</w:t>
      </w:r>
      <w:r w:rsidDel="00000000" w:rsidR="00000000" w:rsidRPr="00000000">
        <w:rPr>
          <w:sz w:val="24"/>
          <w:szCs w:val="24"/>
          <w:rtl w:val="0"/>
        </w:rPr>
        <w:t xml:space="preserve"> Reintroduction of immune-relevant environmental stimuli.</w:t>
      </w:r>
    </w:p>
    <w:p w:rsidR="00000000" w:rsidDel="00000000" w:rsidP="00000000" w:rsidRDefault="00000000" w:rsidRPr="00000000" w14:paraId="00000081">
      <w:pPr>
        <w:keepNext w:val="1"/>
        <w:spacing w:after="240" w:before="240" w:lineRule="auto"/>
        <w:rPr>
          <w:b w:val="1"/>
          <w:sz w:val="24"/>
          <w:szCs w:val="24"/>
        </w:rPr>
      </w:pPr>
      <w:r w:rsidDel="00000000" w:rsidR="00000000" w:rsidRPr="00000000">
        <w:rPr>
          <w:b w:val="1"/>
          <w:sz w:val="24"/>
          <w:szCs w:val="24"/>
          <w:rtl w:val="0"/>
        </w:rPr>
        <w:t xml:space="preserve">Inputs:</w:t>
      </w:r>
    </w:p>
    <w:p w:rsidR="00000000" w:rsidDel="00000000" w:rsidP="00000000" w:rsidRDefault="00000000" w:rsidRPr="00000000" w14:paraId="00000082">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Unfiltered light exposure (AM) and low-light exposure (PM)</w:t>
        <w:br w:type="textWrapping"/>
      </w:r>
    </w:p>
    <w:p w:rsidR="00000000" w:rsidDel="00000000" w:rsidP="00000000" w:rsidRDefault="00000000" w:rsidRPr="00000000" w14:paraId="00000083">
      <w:pPr>
        <w:numPr>
          <w:ilvl w:val="0"/>
          <w:numId w:val="5"/>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Ambient temperature fluctuation ≥10°C over daily cycle</w:t>
        <w:br w:type="textWrapping"/>
      </w:r>
    </w:p>
    <w:p w:rsidR="00000000" w:rsidDel="00000000" w:rsidP="00000000" w:rsidRDefault="00000000" w:rsidRPr="00000000" w14:paraId="0000008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Contact with untreated wood, stone, soil, and organic surfaces</w:t>
        <w:br w:type="textWrapping"/>
      </w:r>
    </w:p>
    <w:p w:rsidR="00000000" w:rsidDel="00000000" w:rsidP="00000000" w:rsidRDefault="00000000" w:rsidRPr="00000000" w14:paraId="00000085">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Minimum 2 hours/day in non-sterile, particulate-rich air environments</w:t>
        <w:br w:type="textWrapping"/>
      </w:r>
    </w:p>
    <w:p w:rsidR="00000000" w:rsidDel="00000000" w:rsidP="00000000" w:rsidRDefault="00000000" w:rsidRPr="00000000" w14:paraId="0000008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x00sgr2f98ei" w:id="13"/>
      <w:bookmarkEnd w:id="13"/>
      <w:r w:rsidDel="00000000" w:rsidR="00000000" w:rsidRPr="00000000">
        <w:rPr>
          <w:b w:val="1"/>
          <w:color w:val="000000"/>
          <w:sz w:val="26"/>
          <w:szCs w:val="26"/>
          <w:rtl w:val="0"/>
        </w:rPr>
        <w:t xml:space="preserve">System Rhythm Support</w:t>
      </w:r>
    </w:p>
    <w:p w:rsidR="00000000" w:rsidDel="00000000" w:rsidP="00000000" w:rsidRDefault="00000000" w:rsidRPr="00000000" w14:paraId="00000088">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Maintain fixed meal timing with minimal variance</w:t>
        <w:br w:type="textWrapping"/>
      </w:r>
    </w:p>
    <w:p w:rsidR="00000000" w:rsidDel="00000000" w:rsidP="00000000" w:rsidRDefault="00000000" w:rsidRPr="00000000" w14:paraId="0000008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Introduce dietary variety after microbial stabilization</w:t>
        <w:br w:type="textWrapping"/>
      </w:r>
    </w:p>
    <w:p w:rsidR="00000000" w:rsidDel="00000000" w:rsidP="00000000" w:rsidRDefault="00000000" w:rsidRPr="00000000" w14:paraId="0000008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One low-input day per week (vegetable + broth format) to reduce systemic load</w:t>
        <w:br w:type="textWrapping"/>
      </w:r>
    </w:p>
    <w:p w:rsidR="00000000" w:rsidDel="00000000" w:rsidP="00000000" w:rsidRDefault="00000000" w:rsidRPr="00000000" w14:paraId="0000008B">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Use symptom rhythm (not resolution) to monitor calibration progress</w:t>
        <w:br w:type="textWrapping"/>
      </w:r>
    </w:p>
    <w:p w:rsidR="00000000" w:rsidDel="00000000" w:rsidP="00000000" w:rsidRDefault="00000000" w:rsidRPr="00000000" w14:paraId="0000008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No action is universally required. Inputs are modular and contingent on context.</w:t>
        <w:br w:type="textWrapping"/>
        <w:t xml:space="preserve">No timeline guarantees are stated.</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This appendix is observational and structural, not prescriptive.</w:t>
      </w:r>
    </w:p>
    <w:p w:rsidR="00000000" w:rsidDel="00000000" w:rsidP="00000000" w:rsidRDefault="00000000" w:rsidRPr="00000000" w14:paraId="0000008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rPr>
          <w:i w:val="1"/>
          <w:color w:val="ffffff"/>
          <w:sz w:val="18"/>
          <w:szCs w:val="18"/>
        </w:rPr>
      </w:pPr>
      <w:r w:rsidDel="00000000" w:rsidR="00000000" w:rsidRPr="00000000">
        <w:rPr>
          <w:i w:val="1"/>
          <w:color w:val="f3f3f3"/>
          <w:sz w:val="20"/>
          <w:szCs w:val="20"/>
          <w:rtl w:val="0"/>
        </w:rPr>
        <w:t xml:space="preserve">- That good Kush Edition -A</w:t>
      </w:r>
      <w:r w:rsidDel="00000000" w:rsidR="00000000" w:rsidRPr="00000000">
        <w:rPr>
          <w:i w:val="1"/>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