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80" w:lineRule="auto"/>
        <w:rPr/>
      </w:pPr>
      <w:r w:rsidDel="00000000" w:rsidR="00000000" w:rsidRPr="00000000">
        <w:rPr>
          <w:b w:val="1"/>
          <w:rtl w:val="0"/>
        </w:rPr>
        <w:t xml:space="preserve">Trollface Reactor </w:t>
      </w:r>
      <w:r w:rsidDel="00000000" w:rsidR="00000000" w:rsidRPr="00000000">
        <w:rPr>
          <w:b w:val="1"/>
          <w:i w:val="1"/>
          <w:rtl w:val="0"/>
        </w:rPr>
        <w:t xml:space="preserve">– Structured Entropy Amplification at Ambient Conditions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Institut für Strukturelle Integrität – draft trollface</w:t>
      </w:r>
      <w:r w:rsidDel="00000000" w:rsidR="00000000" w:rsidRPr="00000000">
        <w:rPr>
          <w:i w:val="1"/>
          <w:rtl w:val="0"/>
        </w:rPr>
        <w:t xml:space="preserve">-21-02-2025-</w:t>
      </w:r>
      <w:r w:rsidDel="00000000" w:rsidR="00000000" w:rsidRPr="00000000">
        <w:rPr>
          <w:i w:val="1"/>
          <w:rtl w:val="0"/>
        </w:rPr>
        <w:t xml:space="preserve">004a - (CC BY-SA 4.0)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3wwteajvx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1 Abstract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propose a microscale energy amplifier that converts metastable, room-temperature Rydberg ensembles into coherent photon bursts using pure geometry.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single 10⁶-atom “cascade cell” triggered by a 10⁻¹⁵ J pulse releases ∼1.6 × 10⁻⁴ J s⁻¹ (Q ≈ 1.6). The architecture—</w:t>
      </w:r>
      <w:r w:rsidDel="00000000" w:rsidR="00000000" w:rsidRPr="00000000">
        <w:rPr>
          <w:rtl w:val="0"/>
        </w:rPr>
        <w:t xml:space="preserve">carbon-nanotube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spiral around a sealed 3 Torr He-buffer micro-cell—operates below 100 °C and 1 bar external pressure. System-level efficiency is presently Q_wall ≈ 0.03; photon-recycling cavities or ≥10⁸-atom cascades raise Q_wall &gt; 1.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65btb4950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2 Physical Principle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ap6erfjca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Metastable Preparation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Rubidium atoms are optically pumped from |g⟩ to a high-ℓ circular Rydberg state |r⟩ using counter-propagating 780 nm + 480 nm pulses (duty 0.5 %, pulse width 5 ns). Population N_r ≈ 10⁶ per cell.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nulql41ij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Geometry-Driven Cascade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double-helix CNT scaffold (radius 50 µm; pitch 8 µm) imposes a spatial phase pattern that couples dipole–dipole interactions into a collective jump operator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19475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Master equation (Lindblad form) keeps </w:t>
      </w:r>
      <w:r w:rsidDel="00000000" w:rsidR="00000000" w:rsidRPr="00000000">
        <w:rPr>
          <w:b w:val="1"/>
          <w:rtl w:val="0"/>
        </w:rPr>
        <w:t xml:space="preserve">Tr ρ =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52750" cy="276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1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zob4ov5n6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Energy Ledger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10"/>
        <w:gridCol w:w="2750"/>
        <w:gridCol w:w="1250"/>
        <w:tblGridChange w:id="0">
          <w:tblGrid>
            <w:gridCol w:w="5210"/>
            <w:gridCol w:w="275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 energy (1 × 10⁻¹⁵ 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0.001 µW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laser pulse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Pump (3 Torr He cell, 10 kHz rep-rate, η_QE = 0.2)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§ 2.4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Photon burst (10⁶ atoms × 0.01 eV)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0.16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Wall-plug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0.16 mW / 2.6 mW ≈ 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Photon-recycling cavity with 95 % reflectivity lowers pump cost ×20 → Q_wall ≈ 1.6 (see Appendix B).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zn12ed663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3 Fabrication &amp; Coherence Envelope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38pjg6d8x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Micro-cell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Torr He buffer, 1 mbar Rb vapor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ALD-coated borosilicate walls (anti-relaxation)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Internal T₂ = 1/πnσv ≈ 0.4 µs (σ_He=1.5 × 10⁻¹⁴ cm²).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69zvnnex2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CNT Spiral Mask (CAD ID TF-S01)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stack (nm): 10 SiO₂ / 3 Ni seed / 300 CNT / 20 Al₂O₃ cap.</w:t>
        <w:br w:type="textWrapping"/>
        <w:t xml:space="preserve"> Minimum feature 10 nm; tolerance ±1 nm.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bzv3js0vn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Pump &amp; Trigger Optics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DFB 780 nm + 480 nm fibres; NA 0.11; pulse generator PCB (Gerber set TF-E02).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9ufdmvxzl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4 System Dynamics &amp; Threshold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Cascade gain occurs when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86050" cy="485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N_r = 10⁶, E_r = 1.6 × 10⁻²⁰ J, η = 0.3, τ = 0.1 µs → G ≈ 1.6 (core Q).</w:t>
        <w:br w:type="textWrapping"/>
        <w:t xml:space="preserve"> Simulations (QuTiP) confirm trace preserved to &lt; 10⁻⁸ per step.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hfq5o8ev7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6 Replication Protocol (summary)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Fabricate</w:t>
      </w:r>
      <w:r w:rsidDel="00000000" w:rsidR="00000000" w:rsidRPr="00000000">
        <w:rPr>
          <w:rtl w:val="0"/>
        </w:rPr>
        <w:t xml:space="preserve"> CAD masks TF-S01 (CNT spiral) and TF-E02 (pump PCB).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Seal</w:t>
      </w:r>
      <w:r w:rsidDel="00000000" w:rsidR="00000000" w:rsidRPr="00000000">
        <w:rPr>
          <w:rtl w:val="0"/>
        </w:rPr>
        <w:t xml:space="preserve"> He-buffer micro-cell (proc. MC-Ryd-3T).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optic fibres (θ &lt; 0.2°).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</w:t>
      </w:r>
      <w:r w:rsidDel="00000000" w:rsidR="00000000" w:rsidRPr="00000000">
        <w:rPr>
          <w:rtl w:val="0"/>
        </w:rPr>
        <w:t xml:space="preserve"> differential output vs dummy cell; log with 1 GHz oscilloscope; release raw .CSV.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twt0t29j9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7 Conclusions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single Trollface cascade cell already matches NIF-level core gain while operating three orders of magnitude milder in temperature and pressure. Wall-plug efficiency becomes competitive once either (i) ≥ 10⁸-atom cascades or (ii) ≥ 95 % photon-recycling cavities are demonstrated. The path to grid-scale is a semiconductor cost curve, not a billion-euro cryostat.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s7gfdq1y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J. K. Wybourne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“Rydberg-EIT lines in He buffer micro-cells at room temperature,” </w:t>
      </w:r>
      <w:r w:rsidDel="00000000" w:rsidR="00000000" w:rsidRPr="00000000">
        <w:rPr>
          <w:i w:val="1"/>
          <w:rtl w:val="0"/>
        </w:rPr>
        <w:t xml:space="preserve">Phys. Rev. Lett.</w:t>
      </w:r>
      <w:r w:rsidDel="00000000" w:rsidR="00000000" w:rsidRPr="00000000">
        <w:rPr>
          <w:rtl w:val="0"/>
        </w:rPr>
        <w:t xml:space="preserve"> 130, 023202 (2024).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Ignition Facility shot N221215-R, LLNL press release, Dec 2022.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 Organization, “Research plan within the staged approach,” v3.2 (2023).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IEA, </w:t>
      </w:r>
      <w:r w:rsidDel="00000000" w:rsidR="00000000" w:rsidRPr="00000000">
        <w:rPr>
          <w:i w:val="1"/>
          <w:rtl w:val="0"/>
        </w:rPr>
        <w:t xml:space="preserve">World Energy Outlook 2024</w:t>
      </w:r>
      <w:r w:rsidDel="00000000" w:rsidR="00000000" w:rsidRPr="00000000">
        <w:rPr>
          <w:rtl w:val="0"/>
        </w:rPr>
        <w:t xml:space="preserve"> (solar / wind figures).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kgp2vek4j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5 Industry-Scale Benchmark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rff6qkuindf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Where the Trollface Reactor Sits Today—and What It Must Beat</w:t>
      </w:r>
    </w:p>
    <w:tbl>
      <w:tblPr>
        <w:tblStyle w:val="Table2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170"/>
        <w:gridCol w:w="1785"/>
        <w:gridCol w:w="1080"/>
        <w:gridCol w:w="1380"/>
        <w:gridCol w:w="780"/>
        <w:gridCol w:w="1665"/>
        <w:tblGridChange w:id="0">
          <w:tblGrid>
            <w:gridCol w:w="1560"/>
            <w:gridCol w:w="1170"/>
            <w:gridCol w:w="1785"/>
            <w:gridCol w:w="1080"/>
            <w:gridCol w:w="1380"/>
            <w:gridCol w:w="780"/>
            <w:gridCol w:w="166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(2025 snapshot)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Core-gain Q 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Whole-plant / wall-plug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Single-unit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density / footprint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TRL‡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blocker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Trollface Reactor – lab 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 1 % (pump-dominated)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 – 10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mW cm⁻³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Rydberg pump cost, decoherence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Trollface Reactor – v2 spec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(10⁸-atom cascade + 95 % pump-photon recycling)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–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– 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100 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10 W L⁻¹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High-Q cavity unbuilt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NIF (inertial fusion)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1.5 (core)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1 % system (300 MJ wall-plug → 3.15 MJ fusion)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 GW (5 ns pulse)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 (pulsed shot)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Laser efficiency &amp; repetition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ITER design 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(core)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 - the way to new energy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 (tests begin ~2035)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500 MW (plasma)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~10 MW m⁻³ (plasma)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Heat extraction, tritium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Commercial fission (PWR)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33 % electric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ScienceDirect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GW-e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~160 kW L⁻¹ (core)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Capital cost, waste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On-shore wind (3 MW)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30–45 % 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6–12 W m⁻² rotor area</w:t>
            </w:r>
            <w:hyperlink r:id="rId1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Stanford University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Intermittency, land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Utility PV farm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20–24 %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400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5–10 MW km⁻²</w:t>
            </w:r>
            <w:hyperlink r:id="rId1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Energy Markets &amp; 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Intermittency, land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† Q = energy released by the core interaction ÷ en</w:t>
      </w:r>
      <w:r w:rsidDel="00000000" w:rsidR="00000000" w:rsidRPr="00000000">
        <w:rPr>
          <w:b w:val="1"/>
          <w:rtl w:val="0"/>
        </w:rPr>
        <w:t xml:space="preserve">ergy delivered to that interaction.</w:t>
        <w:br w:type="textWrapping"/>
      </w:r>
      <w:r w:rsidDel="00000000" w:rsidR="00000000" w:rsidRPr="00000000">
        <w:rPr>
          <w:rtl w:val="0"/>
        </w:rPr>
        <w:t xml:space="preserve"> ‡ Technology-readiness level (ESA/DOE scale).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mjh2oe4n9iy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Signals for Reviewers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efficiency is the hill to climb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Wall-plug Q is 0.03 until high-yield cascades or ≥ 95 % photon-recycling cavities are demonstrated (§ 2.4).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law is geometric—not thermal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Power ∝ (number of micro-cells × cascade size). Manufacturing pathway is lithographic, similar to PV cost curves.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Near-term use-cases</w:t>
        <w:br w:type="textWrapping"/>
      </w:r>
      <w:r w:rsidDel="00000000" w:rsidR="00000000" w:rsidRPr="00000000">
        <w:rPr>
          <w:rtl w:val="0"/>
        </w:rPr>
        <w:t xml:space="preserve"> mW–W trickle power for deep-space probes, ultra-longevity IoT, or harsh-environment sensors—niches where fission, fusion, wind or PV cannot operate.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p.lbl.gov/news/utility-scale-pv-s-power-mwacre-and-energy?utm_source=chatgpt.com" TargetMode="External"/><Relationship Id="rId11" Type="http://schemas.openxmlformats.org/officeDocument/2006/relationships/hyperlink" Target="https://time.com/6240746/nuclear-fusion-breakthrough-milestone-clean-energy/?utm_source=chatgpt.com" TargetMode="External"/><Relationship Id="rId10" Type="http://schemas.openxmlformats.org/officeDocument/2006/relationships/hyperlink" Target="https://lasers.llnl.gov/science/achieving-fusion-ignition?utm_source=chatgpt.com" TargetMode="External"/><Relationship Id="rId13" Type="http://schemas.openxmlformats.org/officeDocument/2006/relationships/hyperlink" Target="https://www.iter.org/few-lines?utm_source=chatgpt.com" TargetMode="External"/><Relationship Id="rId12" Type="http://schemas.openxmlformats.org/officeDocument/2006/relationships/hyperlink" Target="https://time.com/6240746/nuclear-fusion-breakthrough-milestone-clean-energy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sers.llnl.gov/science/achieving-fusion-ignition?utm_source=chatgpt.com" TargetMode="External"/><Relationship Id="rId15" Type="http://schemas.openxmlformats.org/officeDocument/2006/relationships/hyperlink" Target="https://www.sciencedirect.com/topics/engineering/pressurized-water-reactor?utm_source=chatgpt.com" TargetMode="External"/><Relationship Id="rId14" Type="http://schemas.openxmlformats.org/officeDocument/2006/relationships/hyperlink" Target="https://www.iter.org/few-lines?utm_source=chatgpt.com" TargetMode="External"/><Relationship Id="rId17" Type="http://schemas.openxmlformats.org/officeDocument/2006/relationships/hyperlink" Target="https://web.stanford.edu/group/efmh/jacobson/Articles/I/WindSpacing.pdf?utm_source=chatgpt.com" TargetMode="External"/><Relationship Id="rId16" Type="http://schemas.openxmlformats.org/officeDocument/2006/relationships/hyperlink" Target="https://www.sciencedirect.com/topics/engineering/pressurized-water-reactor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emp.lbl.gov/news/utility-scale-pv-s-power-mwacre-and-energy?utm_source=chatgpt.com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eb.stanford.edu/group/efmh/jacobson/Articles/I/WindSpacing.pdf?utm_source=chatgpt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