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7c1dde746522cd94244cbbac330bc0c58dfbb3f"/>
    <w:p>
      <w:pPr>
        <w:pStyle w:val="Heading1"/>
      </w:pPr>
      <w:r>
        <w:t xml:space="preserve">NeuroStrategy OS — Atualização Estratégica e Consolidação de Decisões</w:t>
      </w:r>
    </w:p>
    <w:bookmarkStart w:id="20" w:name="contexto-geral"/>
    <w:p>
      <w:pPr>
        <w:pStyle w:val="Heading2"/>
      </w:pPr>
      <w:r>
        <w:t xml:space="preserve">1. Contexto Geral</w:t>
      </w:r>
    </w:p>
    <w:p>
      <w:pPr>
        <w:pStyle w:val="FirstParagraph"/>
      </w:pPr>
      <w:r>
        <w:t xml:space="preserve">Este documento consolida as decisões estratégicas mais recentes do projeto</w:t>
      </w:r>
      <w:r>
        <w:t xml:space="preserve"> </w:t>
      </w:r>
      <w:r>
        <w:rPr>
          <w:b/>
          <w:bCs/>
        </w:rPr>
        <w:t xml:space="preserve">NeuroStrategy OS (HipnoLawrence)</w:t>
      </w:r>
      <w:r>
        <w:t xml:space="preserve">, com foco especial na</w:t>
      </w:r>
      <w:r>
        <w:t xml:space="preserve"> </w:t>
      </w:r>
      <w:r>
        <w:rPr>
          <w:b/>
          <w:bCs/>
        </w:rPr>
        <w:t xml:space="preserve">UI Clínica</w:t>
      </w:r>
      <w:r>
        <w:t xml:space="preserve">, no</w:t>
      </w:r>
      <w:r>
        <w:t xml:space="preserve"> </w:t>
      </w:r>
      <w:r>
        <w:rPr>
          <w:b/>
          <w:bCs/>
        </w:rPr>
        <w:t xml:space="preserve">fluxo de uso real do psicólogo</w:t>
      </w:r>
      <w:r>
        <w:t xml:space="preserve"> </w:t>
      </w:r>
      <w:r>
        <w:t xml:space="preserve">e na</w:t>
      </w:r>
      <w:r>
        <w:t xml:space="preserve"> </w:t>
      </w:r>
      <w:r>
        <w:rPr>
          <w:b/>
          <w:bCs/>
        </w:rPr>
        <w:t xml:space="preserve">expansão conceitual do sistema</w:t>
      </w:r>
      <w:r>
        <w:t xml:space="preserve"> </w:t>
      </w:r>
      <w:r>
        <w:t xml:space="preserve">com a inclusão do</w:t>
      </w:r>
      <w:r>
        <w:t xml:space="preserve"> </w:t>
      </w:r>
      <w:r>
        <w:rPr>
          <w:b/>
          <w:bCs/>
        </w:rPr>
        <w:t xml:space="preserve">Núcleo de Pesquisa</w:t>
      </w:r>
      <w:r>
        <w:t xml:space="preserve">.</w:t>
      </w:r>
    </w:p>
    <w:p>
      <w:pPr>
        <w:pStyle w:val="BodyText"/>
      </w:pPr>
      <w:r>
        <w:t xml:space="preserve">Ele serve como</w:t>
      </w:r>
      <w:r>
        <w:t xml:space="preserve"> </w:t>
      </w:r>
      <w:r>
        <w:rPr>
          <w:b/>
          <w:bCs/>
        </w:rPr>
        <w:t xml:space="preserve">documento de referência oficial</w:t>
      </w:r>
      <w:r>
        <w:t xml:space="preserve"> </w:t>
      </w:r>
      <w:r>
        <w:t xml:space="preserve">para:</w:t>
      </w:r>
      <w:r>
        <w:t xml:space="preserve"> </w:t>
      </w:r>
      <w:r>
        <w:t xml:space="preserve">- continuidade do projeto em novos chats;</w:t>
      </w:r>
      <w:r>
        <w:t xml:space="preserve"> </w:t>
      </w:r>
      <w:r>
        <w:t xml:space="preserve">- alinhamento conceitual antes da implementação técnica;</w:t>
      </w:r>
      <w:r>
        <w:t xml:space="preserve"> </w:t>
      </w:r>
      <w:r>
        <w:t xml:space="preserve">- prevenção de retrabalho e decisões contraditórias.</w:t>
      </w:r>
    </w:p>
    <w:p>
      <w:r>
        <w:pict>
          <v:rect style="width:0;height:1.5pt" o:hralign="center" o:hrstd="t" o:hr="t"/>
        </w:pict>
      </w:r>
    </w:p>
    <w:bookmarkEnd w:id="20"/>
    <w:bookmarkStart w:id="21" w:name="princípios-de-trabalho-reafirmação"/>
    <w:p>
      <w:pPr>
        <w:pStyle w:val="Heading2"/>
      </w:pPr>
      <w:r>
        <w:t xml:space="preserve">2. Princípios de Trabalho (Reafirmação)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Núcleo soberano</w:t>
      </w:r>
      <w:r>
        <w:t xml:space="preserve">: o Núcleo Clínico é a autoridade máxima do sistema.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 a serviço da clínica</w:t>
      </w:r>
      <w:r>
        <w:t xml:space="preserve">: a interface deve facilitar o raciocínio clínico, não exigir aprendizado técnico.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Usuário não programador</w:t>
      </w:r>
      <w:r>
        <w:t xml:space="preserve">: todas as decisões priorizam uso intuitivo, visual e direto.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Blocos fechados e congelados</w:t>
      </w:r>
      <w:r>
        <w:t xml:space="preserve">: decisões conceituais, uma vez fechadas, não são reabertas sem motivo estrutural.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Proibição de microajustes</w:t>
      </w:r>
      <w:r>
        <w:t xml:space="preserve">: mudanças são sempre feitas por substituição completa de blocos.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 descartável, núcleo permanente</w:t>
      </w:r>
      <w:r>
        <w:t xml:space="preserve">: a interface pode evoluir sem comprometer o núcleo.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Ética antes da automação</w:t>
      </w:r>
      <w:r>
        <w:t xml:space="preserve">: nenhuma IA substitui decisão clínica humana.</w:t>
      </w:r>
    </w:p>
    <w:p>
      <w:r>
        <w:pict>
          <v:rect style="width:0;height:1.5pt" o:hralign="center" o:hrstd="t" o:hr="t"/>
        </w:pict>
      </w:r>
    </w:p>
    <w:bookmarkEnd w:id="21"/>
    <w:bookmarkStart w:id="23" w:name="decisão-estratégica-central"/>
    <w:p>
      <w:pPr>
        <w:pStyle w:val="Heading2"/>
      </w:pPr>
      <w:r>
        <w:t xml:space="preserve">3. Decisão Estratégica Central</w:t>
      </w:r>
    </w:p>
    <w:bookmarkStart w:id="22" w:name="abandono-do-uso-clínico-via-terminal-cli"/>
    <w:p>
      <w:pPr>
        <w:pStyle w:val="Heading3"/>
      </w:pPr>
      <w:r>
        <w:t xml:space="preserve">Abandono do uso clínico via terminal (CLI)</w:t>
      </w:r>
    </w:p>
    <w:p>
      <w:pPr>
        <w:pStyle w:val="FirstParagraph"/>
      </w:pPr>
      <w:r>
        <w:t xml:space="preserve">Foi decidido que:</w:t>
      </w:r>
      <w:r>
        <w:t xml:space="preserve"> </w:t>
      </w:r>
      <w:r>
        <w:t xml:space="preserve">- o uso do sistema via terminal</w:t>
      </w:r>
      <w:r>
        <w:t xml:space="preserve"> </w:t>
      </w:r>
      <w:r>
        <w:rPr>
          <w:b/>
          <w:bCs/>
        </w:rPr>
        <w:t xml:space="preserve">não é adequado ao contexto clínico</w:t>
      </w:r>
      <w:r>
        <w:t xml:space="preserve">;</w:t>
      </w:r>
      <w:r>
        <w:t xml:space="preserve"> </w:t>
      </w:r>
      <w:r>
        <w:t xml:space="preserve">- o terminal permanece apenas como ferramenta técnica interna;</w:t>
      </w:r>
      <w:r>
        <w:t xml:space="preserve"> </w:t>
      </w:r>
      <w:r>
        <w:t xml:space="preserve">- o uso cotidiano do sistema será</w:t>
      </w:r>
      <w:r>
        <w:t xml:space="preserve"> </w:t>
      </w:r>
      <w:r>
        <w:rPr>
          <w:b/>
          <w:bCs/>
        </w:rPr>
        <w:t xml:space="preserve">100% visual</w:t>
      </w:r>
      <w:r>
        <w:t xml:space="preserve">.</w:t>
      </w:r>
    </w:p>
    <w:p>
      <w:pPr>
        <w:pStyle w:val="BodyText"/>
      </w:pPr>
      <w:r>
        <w:t xml:space="preserve">Essa decisão redefine a UI como</w:t>
      </w:r>
      <w:r>
        <w:t xml:space="preserve"> </w:t>
      </w:r>
      <w:r>
        <w:rPr>
          <w:b/>
          <w:bCs/>
        </w:rPr>
        <w:t xml:space="preserve">elemento vital</w:t>
      </w:r>
      <w:r>
        <w:t xml:space="preserve">, e não acessório.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arquitetura-da-ui-clínica-resumo"/>
    <w:p>
      <w:pPr>
        <w:pStyle w:val="Heading2"/>
      </w:pPr>
      <w:r>
        <w:t xml:space="preserve">4. Arquitetura da UI Clínica (Resumo)</w:t>
      </w:r>
    </w:p>
    <w:p>
      <w:pPr>
        <w:pStyle w:val="FirstParagraph"/>
      </w:pPr>
      <w:r>
        <w:t xml:space="preserve">O sistema é centrado no</w:t>
      </w:r>
      <w:r>
        <w:t xml:space="preserve"> </w:t>
      </w:r>
      <w:r>
        <w:rPr>
          <w:b/>
          <w:bCs/>
        </w:rPr>
        <w:t xml:space="preserve">Prontuário do Paciente</w:t>
      </w:r>
      <w:r>
        <w:t xml:space="preserve">, que funciona como o eixo principal de navegação.</w:t>
      </w:r>
    </w:p>
    <w:bookmarkStart w:id="24" w:name="abas-clínicas-definidas-mapa-final"/>
    <w:p>
      <w:pPr>
        <w:pStyle w:val="Heading3"/>
      </w:pPr>
      <w:r>
        <w:t xml:space="preserve">Abas Clínicas Definidas (Mapa Final)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Atendimento (Evolução)</w:t>
      </w:r>
      <w:r>
        <w:t xml:space="preserve"> </w:t>
      </w:r>
      <w:r>
        <w:t xml:space="preserve">— sessão em tempo real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Anotações de Sessões</w:t>
      </w:r>
      <w:r>
        <w:t xml:space="preserve"> </w:t>
      </w:r>
      <w:r>
        <w:t xml:space="preserve">— histórico clínico longitudinal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Processo Diagnóstico</w:t>
      </w:r>
      <w:r>
        <w:t xml:space="preserve"> </w:t>
      </w:r>
      <w:r>
        <w:t xml:space="preserve">— raciocínio estruturado e anti-viés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Resumo do Caso</w:t>
      </w:r>
      <w:r>
        <w:t xml:space="preserve"> </w:t>
      </w:r>
      <w:r>
        <w:t xml:space="preserve">— síntese clínica viva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Análises</w:t>
      </w:r>
      <w:r>
        <w:t xml:space="preserve"> </w:t>
      </w:r>
      <w:r>
        <w:t xml:space="preserve">— laboratório seguro de estudo de caso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Referências (APA)</w:t>
      </w:r>
      <w:r>
        <w:t xml:space="preserve"> </w:t>
      </w:r>
      <w:r>
        <w:t xml:space="preserve">— base teórica aplicada ao caso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Transcrições</w:t>
      </w:r>
      <w:r>
        <w:t xml:space="preserve"> </w:t>
      </w:r>
      <w:r>
        <w:t xml:space="preserve">— memória bruta organizada das sessões</w:t>
      </w:r>
    </w:p>
    <w:p>
      <w:pPr>
        <w:pStyle w:val="FirstParagraph"/>
      </w:pPr>
      <w:r>
        <w:t xml:space="preserve">Todas as abas:</w:t>
      </w:r>
      <w:r>
        <w:t xml:space="preserve"> </w:t>
      </w:r>
      <w:r>
        <w:t xml:space="preserve">- são navegáveis durante o atendimento;</w:t>
      </w:r>
      <w:r>
        <w:t xml:space="preserve"> </w:t>
      </w:r>
      <w:r>
        <w:t xml:space="preserve">- não interrompem o fluxo clínico;</w:t>
      </w:r>
      <w:r>
        <w:t xml:space="preserve"> </w:t>
      </w:r>
      <w:r>
        <w:t xml:space="preserve">- seguem visual estilo</w:t>
      </w:r>
      <w:r>
        <w:t xml:space="preserve"> </w:t>
      </w:r>
      <w:r>
        <w:rPr>
          <w:b/>
          <w:bCs/>
        </w:rPr>
        <w:t xml:space="preserve">Microsoft Office</w:t>
      </w:r>
      <w:r>
        <w:t xml:space="preserve"> </w:t>
      </w:r>
      <w:r>
        <w:t xml:space="preserve">(simples, limpo, funcional).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decisão-sobre-referências"/>
    <w:p>
      <w:pPr>
        <w:pStyle w:val="Heading2"/>
      </w:pPr>
      <w:r>
        <w:t xml:space="preserve">5. Decisão sobre Referências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Formato oficial único: APA</w:t>
      </w:r>
    </w:p>
    <w:p>
      <w:pPr>
        <w:pStyle w:val="Compact"/>
        <w:numPr>
          <w:ilvl w:val="0"/>
          <w:numId w:val="1003"/>
        </w:numPr>
      </w:pPr>
      <w:r>
        <w:t xml:space="preserve">Não há suporte a ABNT, Vancouver ou outros formatos como padrão interno.</w:t>
      </w:r>
    </w:p>
    <w:p>
      <w:pPr>
        <w:pStyle w:val="Compact"/>
        <w:numPr>
          <w:ilvl w:val="0"/>
          <w:numId w:val="1003"/>
        </w:numPr>
      </w:pPr>
      <w:r>
        <w:t xml:space="preserve">O sistema não substitui Mendeley/Zotero.</w:t>
      </w:r>
    </w:p>
    <w:p>
      <w:pPr>
        <w:pStyle w:val="Compact"/>
        <w:numPr>
          <w:ilvl w:val="0"/>
          <w:numId w:val="1003"/>
        </w:numPr>
      </w:pPr>
      <w:r>
        <w:t xml:space="preserve">Referências são:</w:t>
      </w:r>
    </w:p>
    <w:p>
      <w:pPr>
        <w:pStyle w:val="Compact"/>
        <w:numPr>
          <w:ilvl w:val="1"/>
          <w:numId w:val="1004"/>
        </w:numPr>
      </w:pPr>
      <w:r>
        <w:t xml:space="preserve">coladas já em APA;</w:t>
      </w:r>
    </w:p>
    <w:p>
      <w:pPr>
        <w:pStyle w:val="Compact"/>
        <w:numPr>
          <w:ilvl w:val="1"/>
          <w:numId w:val="1004"/>
        </w:numPr>
      </w:pPr>
      <w:r>
        <w:t xml:space="preserve">contextualizadas clinicamente;</w:t>
      </w:r>
    </w:p>
    <w:p>
      <w:pPr>
        <w:pStyle w:val="Compact"/>
        <w:numPr>
          <w:ilvl w:val="1"/>
          <w:numId w:val="1004"/>
        </w:numPr>
      </w:pPr>
      <w:r>
        <w:t xml:space="preserve">relacionadas ao caso, não à biblioteca geral.</w:t>
      </w:r>
    </w:p>
    <w:p>
      <w:r>
        <w:pict>
          <v:rect style="width:0;height:1.5pt" o:hralign="center" o:hrstd="t" o:hr="t"/>
        </w:pict>
      </w:r>
    </w:p>
    <w:bookmarkEnd w:id="26"/>
    <w:bookmarkStart w:id="31" w:name="X6c8c68a230f1e3d5f3e396fb5134dc6533fab73"/>
    <w:p>
      <w:pPr>
        <w:pStyle w:val="Heading2"/>
      </w:pPr>
      <w:r>
        <w:t xml:space="preserve">6. Registro do Novo Núcleo — Núcleo 8: Pesquisa</w:t>
      </w:r>
    </w:p>
    <w:bookmarkStart w:id="27" w:name="finalidade"/>
    <w:p>
      <w:pPr>
        <w:pStyle w:val="Heading3"/>
      </w:pPr>
      <w:r>
        <w:t xml:space="preserve">6.1 Finalidade</w:t>
      </w:r>
    </w:p>
    <w:p>
      <w:pPr>
        <w:pStyle w:val="FirstParagraph"/>
      </w:pPr>
      <w:r>
        <w:t xml:space="preserve">Transformar dados clínicos</w:t>
      </w:r>
      <w:r>
        <w:t xml:space="preserve"> </w:t>
      </w:r>
      <w:r>
        <w:rPr>
          <w:b/>
          <w:bCs/>
        </w:rPr>
        <w:t xml:space="preserve">anonimizados e eticamente estruturados</w:t>
      </w:r>
      <w:r>
        <w:t xml:space="preserve"> </w:t>
      </w:r>
      <w:r>
        <w:t xml:space="preserve">em:</w:t>
      </w:r>
      <w:r>
        <w:t xml:space="preserve"> </w:t>
      </w:r>
      <w:r>
        <w:t xml:space="preserve">- insights científicos;</w:t>
      </w:r>
      <w:r>
        <w:t xml:space="preserve"> </w:t>
      </w:r>
      <w:r>
        <w:t xml:space="preserve">- hipóteses acadêmicas;</w:t>
      </w:r>
      <w:r>
        <w:t xml:space="preserve"> </w:t>
      </w:r>
      <w:r>
        <w:t xml:space="preserve">- produção intelectual;</w:t>
      </w:r>
      <w:r>
        <w:t xml:space="preserve"> </w:t>
      </w:r>
      <w:r>
        <w:t xml:space="preserve">- oportunidades acadêmicas reais.</w:t>
      </w:r>
    </w:p>
    <w:p>
      <w:pPr>
        <w:pStyle w:val="BodyText"/>
      </w:pPr>
      <w:r>
        <w:t xml:space="preserve">O consultório passa a operar também como</w:t>
      </w:r>
      <w:r>
        <w:t xml:space="preserve"> </w:t>
      </w:r>
      <w:r>
        <w:rPr>
          <w:b/>
          <w:bCs/>
        </w:rPr>
        <w:t xml:space="preserve">polo de produção de conhecimento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princípios-éticos-do-núcleo-de-pesquisa"/>
    <w:p>
      <w:pPr>
        <w:pStyle w:val="Heading3"/>
      </w:pPr>
      <w:r>
        <w:t xml:space="preserve">6.2 Princípios Éticos do Núcleo de Pesquisa</w:t>
      </w:r>
    </w:p>
    <w:p>
      <w:pPr>
        <w:pStyle w:val="Compact"/>
        <w:numPr>
          <w:ilvl w:val="0"/>
          <w:numId w:val="1005"/>
        </w:numPr>
      </w:pPr>
      <w:r>
        <w:t xml:space="preserve">Separação absoluta entre clínica e pesquisa;</w:t>
      </w:r>
    </w:p>
    <w:p>
      <w:pPr>
        <w:pStyle w:val="Compact"/>
        <w:numPr>
          <w:ilvl w:val="0"/>
          <w:numId w:val="1005"/>
        </w:numPr>
      </w:pPr>
      <w:r>
        <w:t xml:space="preserve">Nenhum dado identificável;</w:t>
      </w:r>
    </w:p>
    <w:p>
      <w:pPr>
        <w:pStyle w:val="Compact"/>
        <w:numPr>
          <w:ilvl w:val="0"/>
          <w:numId w:val="1005"/>
        </w:numPr>
      </w:pPr>
      <w:r>
        <w:t xml:space="preserve">Nenhuma interferência no atendimento;</w:t>
      </w:r>
    </w:p>
    <w:p>
      <w:pPr>
        <w:pStyle w:val="Compact"/>
        <w:numPr>
          <w:ilvl w:val="0"/>
          <w:numId w:val="1005"/>
        </w:numPr>
      </w:pPr>
      <w:r>
        <w:t xml:space="preserve">Uso apenas de dados encerrados e anonimizáveis;</w:t>
      </w:r>
    </w:p>
    <w:p>
      <w:pPr>
        <w:pStyle w:val="Compact"/>
        <w:numPr>
          <w:ilvl w:val="0"/>
          <w:numId w:val="1005"/>
        </w:numPr>
      </w:pPr>
      <w:r>
        <w:t xml:space="preserve">Funcionamento sempre em modo</w:t>
      </w:r>
      <w:r>
        <w:t xml:space="preserve"> </w:t>
      </w:r>
      <w:r>
        <w:rPr>
          <w:b/>
          <w:bCs/>
        </w:rPr>
        <w:t xml:space="preserve">opt-in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submódulos-do-núcleo-de-pesquisa"/>
    <w:p>
      <w:pPr>
        <w:pStyle w:val="Heading3"/>
      </w:pPr>
      <w:r>
        <w:t xml:space="preserve">6.3 Submódulos do Núcleo de Pesquisa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Identificação de Padrões Clínicos</w:t>
      </w:r>
    </w:p>
    <w:p>
      <w:pPr>
        <w:pStyle w:val="Compact"/>
        <w:numPr>
          <w:ilvl w:val="1"/>
          <w:numId w:val="1007"/>
        </w:numPr>
      </w:pPr>
      <w:r>
        <w:t xml:space="preserve">Correlações não óbvias</w:t>
      </w:r>
    </w:p>
    <w:p>
      <w:pPr>
        <w:pStyle w:val="Compact"/>
        <w:numPr>
          <w:ilvl w:val="1"/>
          <w:numId w:val="1007"/>
        </w:numPr>
      </w:pPr>
      <w:r>
        <w:t xml:space="preserve">Análise de linguagem, símbolos e evolução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Geração de Hipóteses de Pesquisa</w:t>
      </w:r>
    </w:p>
    <w:p>
      <w:pPr>
        <w:pStyle w:val="Compact"/>
        <w:numPr>
          <w:ilvl w:val="1"/>
          <w:numId w:val="1008"/>
        </w:numPr>
      </w:pPr>
      <w:r>
        <w:t xml:space="preserve">Hipóteses testáveis</w:t>
      </w:r>
    </w:p>
    <w:p>
      <w:pPr>
        <w:pStyle w:val="Compact"/>
        <w:numPr>
          <w:ilvl w:val="1"/>
          <w:numId w:val="1008"/>
        </w:numPr>
      </w:pPr>
      <w:r>
        <w:t xml:space="preserve">Linguagem científica e condicional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Sugestão de Delineamento Metodológico</w:t>
      </w:r>
    </w:p>
    <w:p>
      <w:pPr>
        <w:pStyle w:val="Compact"/>
        <w:numPr>
          <w:ilvl w:val="1"/>
          <w:numId w:val="1009"/>
        </w:numPr>
      </w:pPr>
      <w:r>
        <w:t xml:space="preserve">Tipo de estudo</w:t>
      </w:r>
    </w:p>
    <w:p>
      <w:pPr>
        <w:pStyle w:val="Compact"/>
        <w:numPr>
          <w:ilvl w:val="1"/>
          <w:numId w:val="1009"/>
        </w:numPr>
      </w:pPr>
      <w:r>
        <w:t xml:space="preserve">Variáveis possíveis</w:t>
      </w:r>
    </w:p>
    <w:p>
      <w:pPr>
        <w:pStyle w:val="Compact"/>
        <w:numPr>
          <w:ilvl w:val="1"/>
          <w:numId w:val="1009"/>
        </w:numPr>
      </w:pPr>
      <w:r>
        <w:t xml:space="preserve">Limitações éticas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Estruturação de Artigos (Rascunhos)</w:t>
      </w:r>
    </w:p>
    <w:p>
      <w:pPr>
        <w:pStyle w:val="Compact"/>
        <w:numPr>
          <w:ilvl w:val="1"/>
          <w:numId w:val="1010"/>
        </w:numPr>
      </w:pPr>
      <w:r>
        <w:t xml:space="preserve">Introdução</w:t>
      </w:r>
    </w:p>
    <w:p>
      <w:pPr>
        <w:pStyle w:val="Compact"/>
        <w:numPr>
          <w:ilvl w:val="1"/>
          <w:numId w:val="1010"/>
        </w:numPr>
      </w:pPr>
      <w:r>
        <w:t xml:space="preserve">Metodologia sugerida</w:t>
      </w:r>
    </w:p>
    <w:p>
      <w:pPr>
        <w:pStyle w:val="Compact"/>
        <w:numPr>
          <w:ilvl w:val="1"/>
          <w:numId w:val="1010"/>
        </w:numPr>
      </w:pPr>
      <w:r>
        <w:t xml:space="preserve">Resultados esperados/preliminares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Alerta de Publicações Relevantes</w:t>
      </w:r>
    </w:p>
    <w:p>
      <w:pPr>
        <w:pStyle w:val="Compact"/>
        <w:numPr>
          <w:ilvl w:val="1"/>
          <w:numId w:val="1011"/>
        </w:numPr>
      </w:pPr>
      <w:r>
        <w:t xml:space="preserve">Journals e artigos alinhados aos casos reais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Monitoramento de Oportunidades Acadêmicas</w:t>
      </w:r>
    </w:p>
    <w:p>
      <w:pPr>
        <w:pStyle w:val="Compact"/>
        <w:numPr>
          <w:ilvl w:val="1"/>
          <w:numId w:val="1012"/>
        </w:numPr>
      </w:pPr>
      <w:r>
        <w:t xml:space="preserve">Congressos</w:t>
      </w:r>
    </w:p>
    <w:p>
      <w:pPr>
        <w:pStyle w:val="Compact"/>
        <w:numPr>
          <w:ilvl w:val="1"/>
          <w:numId w:val="1012"/>
        </w:numPr>
      </w:pPr>
      <w:r>
        <w:t xml:space="preserve">Chamadas de trabalhos</w:t>
      </w:r>
    </w:p>
    <w:p>
      <w:pPr>
        <w:pStyle w:val="Compact"/>
        <w:numPr>
          <w:ilvl w:val="1"/>
          <w:numId w:val="1012"/>
        </w:numPr>
      </w:pPr>
      <w:r>
        <w:t xml:space="preserve">Editais (FAPESP, CNPq, etc.)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Assistência na Submissão</w:t>
      </w:r>
    </w:p>
    <w:p>
      <w:pPr>
        <w:pStyle w:val="Compact"/>
        <w:numPr>
          <w:ilvl w:val="1"/>
          <w:numId w:val="1013"/>
        </w:numPr>
      </w:pPr>
      <w:r>
        <w:t xml:space="preserve">Adequação a normas (APA, ABNT, journals específicos)</w:t>
      </w:r>
    </w:p>
    <w:p>
      <w:pPr>
        <w:pStyle w:val="Compact"/>
        <w:numPr>
          <w:ilvl w:val="1"/>
          <w:numId w:val="1013"/>
        </w:numPr>
      </w:pPr>
      <w:r>
        <w:t xml:space="preserve">Apoio a resumos, pitches e cartas</w:t>
      </w:r>
    </w:p>
    <w:p>
      <w:r>
        <w:pict>
          <v:rect style="width:0;height:1.5pt" o:hralign="center" o:hrstd="t" o:hr="t"/>
        </w:pict>
      </w:r>
    </w:p>
    <w:bookmarkEnd w:id="29"/>
    <w:bookmarkStart w:id="30" w:name="posicionamento-arquitetural"/>
    <w:p>
      <w:pPr>
        <w:pStyle w:val="Heading3"/>
      </w:pPr>
      <w:r>
        <w:t xml:space="preserve">6.4 Posicionamento Arquitetural</w:t>
      </w:r>
    </w:p>
    <w:p>
      <w:pPr>
        <w:pStyle w:val="Compact"/>
        <w:numPr>
          <w:ilvl w:val="0"/>
          <w:numId w:val="1014"/>
        </w:numPr>
      </w:pPr>
      <w:r>
        <w:t xml:space="preserve">Núcleo independente</w:t>
      </w:r>
    </w:p>
    <w:p>
      <w:pPr>
        <w:pStyle w:val="Compact"/>
        <w:numPr>
          <w:ilvl w:val="0"/>
          <w:numId w:val="1014"/>
        </w:numPr>
      </w:pPr>
      <w:r>
        <w:t xml:space="preserve">Não acessa sessões em andamento</w:t>
      </w:r>
    </w:p>
    <w:p>
      <w:pPr>
        <w:pStyle w:val="Compact"/>
        <w:numPr>
          <w:ilvl w:val="0"/>
          <w:numId w:val="1014"/>
        </w:numPr>
      </w:pPr>
      <w:r>
        <w:t xml:space="preserve">Não altera prontuários</w:t>
      </w:r>
    </w:p>
    <w:p>
      <w:pPr>
        <w:pStyle w:val="Compact"/>
        <w:numPr>
          <w:ilvl w:val="0"/>
          <w:numId w:val="1014"/>
        </w:numPr>
      </w:pPr>
      <w:r>
        <w:t xml:space="preserve">Atua como observador analítico externo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0ed21d580d0a27aa85436ebcd104bbb29d64d74"/>
    <w:p>
      <w:pPr>
        <w:pStyle w:val="Heading2"/>
      </w:pPr>
      <w:r>
        <w:t xml:space="preserve">7. Status do Projeto ao Final deste Documento</w:t>
      </w:r>
    </w:p>
    <w:p>
      <w:pPr>
        <w:pStyle w:val="Compact"/>
        <w:numPr>
          <w:ilvl w:val="0"/>
          <w:numId w:val="1015"/>
        </w:numPr>
      </w:pPr>
      <w:r>
        <w:t xml:space="preserve">Núcleo Clínico:</w:t>
      </w:r>
      <w:r>
        <w:t xml:space="preserve"> </w:t>
      </w:r>
      <w:r>
        <w:rPr>
          <w:b/>
          <w:bCs/>
        </w:rPr>
        <w:t xml:space="preserve">fechado e congelado</w:t>
      </w:r>
    </w:p>
    <w:p>
      <w:pPr>
        <w:pStyle w:val="Compact"/>
        <w:numPr>
          <w:ilvl w:val="0"/>
          <w:numId w:val="1015"/>
        </w:numPr>
      </w:pPr>
      <w:r>
        <w:t xml:space="preserve">UI Clínica:</w:t>
      </w:r>
      <w:r>
        <w:t xml:space="preserve"> </w:t>
      </w:r>
      <w:r>
        <w:rPr>
          <w:b/>
          <w:bCs/>
        </w:rPr>
        <w:t xml:space="preserve">conceitualmente definida</w:t>
      </w:r>
    </w:p>
    <w:p>
      <w:pPr>
        <w:pStyle w:val="Compact"/>
        <w:numPr>
          <w:ilvl w:val="0"/>
          <w:numId w:val="1015"/>
        </w:numPr>
      </w:pPr>
      <w:r>
        <w:t xml:space="preserve">Uso por terminal:</w:t>
      </w:r>
      <w:r>
        <w:t xml:space="preserve"> </w:t>
      </w:r>
      <w:r>
        <w:rPr>
          <w:b/>
          <w:bCs/>
        </w:rPr>
        <w:t xml:space="preserve">descartado para prática clínica</w:t>
      </w:r>
    </w:p>
    <w:p>
      <w:pPr>
        <w:pStyle w:val="Compact"/>
        <w:numPr>
          <w:ilvl w:val="0"/>
          <w:numId w:val="1015"/>
        </w:numPr>
      </w:pPr>
      <w:r>
        <w:t xml:space="preserve">Núcleo de Pesquisa:</w:t>
      </w:r>
      <w:r>
        <w:t xml:space="preserve"> </w:t>
      </w:r>
      <w:r>
        <w:rPr>
          <w:b/>
          <w:bCs/>
        </w:rPr>
        <w:t xml:space="preserve">registrado e integrado ao macro-design</w:t>
      </w:r>
    </w:p>
    <w:p>
      <w:pPr>
        <w:pStyle w:val="FirstParagraph"/>
      </w:pPr>
      <w:r>
        <w:t xml:space="preserve">Este documento passa a ser o</w:t>
      </w:r>
      <w:r>
        <w:t xml:space="preserve"> </w:t>
      </w:r>
      <w:r>
        <w:rPr>
          <w:b/>
          <w:bCs/>
        </w:rPr>
        <w:t xml:space="preserve">registro oficial dessas decisões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próximo-passo-planejado"/>
    <w:p>
      <w:pPr>
        <w:pStyle w:val="Heading2"/>
      </w:pPr>
      <w:r>
        <w:t xml:space="preserve">8. Próximo Passo Planejado</w:t>
      </w:r>
    </w:p>
    <w:p>
      <w:pPr>
        <w:pStyle w:val="FirstParagraph"/>
      </w:pPr>
      <w:r>
        <w:t xml:space="preserve">Consolidar este material em um</w:t>
      </w:r>
      <w:r>
        <w:t xml:space="preserve"> </w:t>
      </w:r>
      <w:r>
        <w:rPr>
          <w:b/>
          <w:bCs/>
        </w:rPr>
        <w:t xml:space="preserve">Documento-Mestre de Arquitetura da UI e Núcleos</w:t>
      </w:r>
      <w:r>
        <w:t xml:space="preserve">, servindo como base definitiva para implementação técnica.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2026-01-02T13:05:45Z</dcterms:created>
  <dcterms:modified xsi:type="dcterms:W3CDTF">2026-01-02T13:05:45Z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