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c0935959192826a6ae5f145cc20b57f68d6ab9f"/>
    <w:p>
      <w:pPr>
        <w:pStyle w:val="Heading1"/>
      </w:pPr>
      <w:r>
        <w:t xml:space="preserve">Documento Base — Fases de Construção de Software Seguro</w:t>
      </w:r>
    </w:p>
    <w:p>
      <w:pPr>
        <w:pStyle w:val="FirstParagraph"/>
      </w:pPr>
      <w:r>
        <w:t xml:space="preserve">Este documento define um</w:t>
      </w:r>
      <w:r>
        <w:t xml:space="preserve"> </w:t>
      </w:r>
      <w:r>
        <w:rPr>
          <w:b/>
          <w:bCs/>
        </w:rPr>
        <w:t xml:space="preserve">modelo estrutural de construção de software</w:t>
      </w:r>
      <w:r>
        <w:t xml:space="preserve"> </w:t>
      </w:r>
      <w:r>
        <w:t xml:space="preserve">aplicável a qualquer domínio, com foco em</w:t>
      </w:r>
      <w:r>
        <w:t xml:space="preserve"> </w:t>
      </w:r>
      <w:r>
        <w:rPr>
          <w:b/>
          <w:bCs/>
        </w:rPr>
        <w:t xml:space="preserve">controle, previsibilidade, segurança e auditabilidade</w:t>
      </w:r>
      <w:r>
        <w:t xml:space="preserve">. Ele é independente de tecnologia, linguagem ou finalidade clínica/comercial.</w:t>
      </w:r>
    </w:p>
    <w:p>
      <w:pPr>
        <w:pStyle w:val="BodyText"/>
      </w:pPr>
      <w:r>
        <w:t xml:space="preserve">O princípio central é:</w:t>
      </w:r>
      <w:r>
        <w:t xml:space="preserve"> </w:t>
      </w:r>
      <w:r>
        <w:rPr>
          <w:b/>
          <w:bCs/>
        </w:rPr>
        <w:t xml:space="preserve">nenhum comportamento é permitido sem contrato explícito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macrofase-1-fundação-e-guarda"/>
    <w:p>
      <w:pPr>
        <w:pStyle w:val="Heading2"/>
      </w:pPr>
      <w:r>
        <w:t xml:space="preserve">MACROFASE 1 — FUNDAÇÃO E GUARDA</w:t>
      </w:r>
    </w:p>
    <w:bookmarkStart w:id="20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Estabelecer limites rígidos antes de qualquer funcionalidade existir.</w:t>
      </w:r>
    </w:p>
    <w:bookmarkEnd w:id="20"/>
    <w:bookmarkStart w:id="21" w:name="diretrizes"/>
    <w:p>
      <w:pPr>
        <w:pStyle w:val="Heading3"/>
      </w:pPr>
      <w:r>
        <w:t xml:space="preserve">Diretrizes</w:t>
      </w:r>
    </w:p>
    <w:p>
      <w:pPr>
        <w:pStyle w:val="Compact"/>
        <w:numPr>
          <w:ilvl w:val="0"/>
          <w:numId w:val="1001"/>
        </w:numPr>
      </w:pPr>
      <w:r>
        <w:t xml:space="preserve">Criar estrutura de pastas com separação rígida de responsabilidades (ex.: núcleo, interface, dados, documentação).</w:t>
      </w:r>
    </w:p>
    <w:p>
      <w:pPr>
        <w:pStyle w:val="Compact"/>
        <w:numPr>
          <w:ilvl w:val="0"/>
          <w:numId w:val="1001"/>
        </w:numPr>
      </w:pPr>
      <w:r>
        <w:t xml:space="preserve">Impedir fisicamente acessos cruzados indevidos entre camadas.</w:t>
      </w:r>
    </w:p>
    <w:p>
      <w:pPr>
        <w:pStyle w:val="Compact"/>
        <w:numPr>
          <w:ilvl w:val="0"/>
          <w:numId w:val="1001"/>
        </w:numPr>
      </w:pPr>
      <w:r>
        <w:t xml:space="preserve">Implementar guards estruturais para bloquear:</w:t>
      </w:r>
    </w:p>
    <w:p>
      <w:pPr>
        <w:pStyle w:val="Compact"/>
        <w:numPr>
          <w:ilvl w:val="1"/>
          <w:numId w:val="1002"/>
        </w:numPr>
      </w:pPr>
      <w:r>
        <w:t xml:space="preserve">Estados inválidos</w:t>
      </w:r>
    </w:p>
    <w:p>
      <w:pPr>
        <w:pStyle w:val="Compact"/>
        <w:numPr>
          <w:ilvl w:val="1"/>
          <w:numId w:val="1002"/>
        </w:numPr>
      </w:pPr>
      <w:r>
        <w:t xml:space="preserve">Transições não autorizadas</w:t>
      </w:r>
    </w:p>
    <w:p>
      <w:pPr>
        <w:pStyle w:val="Compact"/>
        <w:numPr>
          <w:ilvl w:val="1"/>
          <w:numId w:val="1002"/>
        </w:numPr>
      </w:pPr>
      <w:r>
        <w:t xml:space="preserve">Linguagem ou conteúdo proibido</w:t>
      </w:r>
    </w:p>
    <w:p>
      <w:pPr>
        <w:pStyle w:val="Compact"/>
        <w:numPr>
          <w:ilvl w:val="1"/>
          <w:numId w:val="1002"/>
        </w:numPr>
      </w:pPr>
      <w:r>
        <w:t xml:space="preserve">Persistência não permitida</w:t>
      </w:r>
    </w:p>
    <w:p>
      <w:pPr>
        <w:pStyle w:val="Compact"/>
        <w:numPr>
          <w:ilvl w:val="0"/>
          <w:numId w:val="1001"/>
        </w:numPr>
      </w:pPr>
      <w:r>
        <w:t xml:space="preserve">Conectar estado e interface apenas de forma visual.</w:t>
      </w:r>
    </w:p>
    <w:p>
      <w:pPr>
        <w:pStyle w:val="Compact"/>
        <w:numPr>
          <w:ilvl w:val="0"/>
          <w:numId w:val="1001"/>
        </w:numPr>
      </w:pPr>
      <w:r>
        <w:t xml:space="preserve">Operar exclusivamente em runtime mínimo.</w:t>
      </w:r>
    </w:p>
    <w:p>
      <w:pPr>
        <w:pStyle w:val="Compact"/>
        <w:numPr>
          <w:ilvl w:val="0"/>
          <w:numId w:val="1001"/>
        </w:numPr>
      </w:pPr>
      <w:r>
        <w:t xml:space="preserve">Executar auditoria interna contínua.</w:t>
      </w:r>
    </w:p>
    <w:p>
      <w:pPr>
        <w:pStyle w:val="Compact"/>
        <w:numPr>
          <w:ilvl w:val="0"/>
          <w:numId w:val="1001"/>
        </w:numPr>
      </w:pPr>
      <w:r>
        <w:t xml:space="preserve">Realizar testes negativos forçando violações conhecidas.</w:t>
      </w:r>
    </w:p>
    <w:bookmarkEnd w:id="21"/>
    <w:bookmarkStart w:id="22" w:name="regra-de-ouro"/>
    <w:p>
      <w:pPr>
        <w:pStyle w:val="Heading3"/>
      </w:pPr>
      <w:r>
        <w:t xml:space="preserve">Regra de Ouro</w:t>
      </w:r>
    </w:p>
    <w:p>
      <w:pPr>
        <w:pStyle w:val="FirstParagraph"/>
      </w:pPr>
      <w:r>
        <w:t xml:space="preserve">Nada funcional é permitido nesta fase. Apenas bloqueios.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6dcacef1c7c9d19545d21e83dd0a10adf6a7fc1"/>
    <w:p>
      <w:pPr>
        <w:pStyle w:val="Heading2"/>
      </w:pPr>
      <w:r>
        <w:t xml:space="preserve">MACROFASE 2 — FONTE ÚNICA DE VERDADE (MÁQUINA DE ESTADOS)</w:t>
      </w:r>
    </w:p>
    <w:bookmarkStart w:id="24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Eliminar ambiguidade comportamental.</w:t>
      </w:r>
    </w:p>
    <w:bookmarkEnd w:id="24"/>
    <w:bookmarkStart w:id="25" w:name="diretrizes-1"/>
    <w:p>
      <w:pPr>
        <w:pStyle w:val="Heading3"/>
      </w:pPr>
      <w:r>
        <w:t xml:space="preserve">Diretrizes</w:t>
      </w:r>
    </w:p>
    <w:p>
      <w:pPr>
        <w:pStyle w:val="Compact"/>
        <w:numPr>
          <w:ilvl w:val="0"/>
          <w:numId w:val="1003"/>
        </w:numPr>
      </w:pPr>
      <w:r>
        <w:t xml:space="preserve">Definir estados canônicos explícitos.</w:t>
      </w:r>
    </w:p>
    <w:p>
      <w:pPr>
        <w:pStyle w:val="Compact"/>
        <w:numPr>
          <w:ilvl w:val="0"/>
          <w:numId w:val="1003"/>
        </w:numPr>
      </w:pPr>
      <w:r>
        <w:t xml:space="preserve">Proibir estados derivados, implícitos ou inferidos.</w:t>
      </w:r>
    </w:p>
    <w:p>
      <w:pPr>
        <w:pStyle w:val="Compact"/>
        <w:numPr>
          <w:ilvl w:val="0"/>
          <w:numId w:val="1003"/>
        </w:numPr>
      </w:pPr>
      <w:r>
        <w:t xml:space="preserve">Implementar dispatcher de eventos explícitos.</w:t>
      </w:r>
    </w:p>
    <w:p>
      <w:pPr>
        <w:pStyle w:val="Compact"/>
        <w:numPr>
          <w:ilvl w:val="0"/>
          <w:numId w:val="1003"/>
        </w:numPr>
      </w:pPr>
      <w:r>
        <w:t xml:space="preserve">Criar tabela fixa de transições permitidas.</w:t>
      </w:r>
    </w:p>
    <w:p>
      <w:pPr>
        <w:pStyle w:val="Compact"/>
        <w:numPr>
          <w:ilvl w:val="0"/>
          <w:numId w:val="1003"/>
        </w:numPr>
      </w:pPr>
      <w:r>
        <w:t xml:space="preserve">Bloquear qualquer evento fora do estado válido.</w:t>
      </w:r>
    </w:p>
    <w:bookmarkEnd w:id="25"/>
    <w:bookmarkStart w:id="26" w:name="regra-de-ouro-1"/>
    <w:p>
      <w:pPr>
        <w:pStyle w:val="Heading3"/>
      </w:pPr>
      <w:r>
        <w:t xml:space="preserve">Regra de Ouro</w:t>
      </w:r>
    </w:p>
    <w:p>
      <w:pPr>
        <w:pStyle w:val="FirstParagraph"/>
      </w:pPr>
      <w:r>
        <w:t xml:space="preserve">Se não está declarado, não acontece.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f7c026e9633d7ad946b4e4d988b70ac3da0f0d0"/>
    <w:p>
      <w:pPr>
        <w:pStyle w:val="Heading2"/>
      </w:pPr>
      <w:r>
        <w:t xml:space="preserve">MACROFASE 3 — SESSÃO VOLÁTIL (MEMÓRIA TRANSIENTE)</w:t>
      </w:r>
    </w:p>
    <w:bookmarkStart w:id="28" w:name="objetivo-2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Garantir isolamento e não-persistência.</w:t>
      </w:r>
    </w:p>
    <w:bookmarkEnd w:id="28"/>
    <w:bookmarkStart w:id="29" w:name="diretrizes-2"/>
    <w:p>
      <w:pPr>
        <w:pStyle w:val="Heading3"/>
      </w:pPr>
      <w:r>
        <w:t xml:space="preserve">Diretrizes</w:t>
      </w:r>
    </w:p>
    <w:p>
      <w:pPr>
        <w:pStyle w:val="Compact"/>
        <w:numPr>
          <w:ilvl w:val="0"/>
          <w:numId w:val="1004"/>
        </w:numPr>
      </w:pPr>
      <w:r>
        <w:t xml:space="preserve">Criar objeto de sessão mantido apenas em memória.</w:t>
      </w:r>
    </w:p>
    <w:p>
      <w:pPr>
        <w:pStyle w:val="Compact"/>
        <w:numPr>
          <w:ilvl w:val="0"/>
          <w:numId w:val="1004"/>
        </w:numPr>
      </w:pPr>
      <w:r>
        <w:t xml:space="preserve">Armazenar:</w:t>
      </w:r>
    </w:p>
    <w:p>
      <w:pPr>
        <w:pStyle w:val="Compact"/>
        <w:numPr>
          <w:ilvl w:val="1"/>
          <w:numId w:val="1005"/>
        </w:numPr>
      </w:pPr>
      <w:r>
        <w:t xml:space="preserve">Estado atual</w:t>
      </w:r>
    </w:p>
    <w:p>
      <w:pPr>
        <w:pStyle w:val="Compact"/>
        <w:numPr>
          <w:ilvl w:val="1"/>
          <w:numId w:val="1005"/>
        </w:numPr>
      </w:pPr>
      <w:r>
        <w:t xml:space="preserve">Contexto textual</w:t>
      </w:r>
    </w:p>
    <w:p>
      <w:pPr>
        <w:pStyle w:val="Compact"/>
        <w:numPr>
          <w:ilvl w:val="1"/>
          <w:numId w:val="1005"/>
        </w:numPr>
      </w:pPr>
      <w:r>
        <w:t xml:space="preserve">Seleções do usuário</w:t>
      </w:r>
    </w:p>
    <w:p>
      <w:pPr>
        <w:pStyle w:val="Compact"/>
        <w:numPr>
          <w:ilvl w:val="1"/>
          <w:numId w:val="1005"/>
        </w:numPr>
      </w:pPr>
      <w:r>
        <w:t xml:space="preserve">Outputs gerados</w:t>
      </w:r>
    </w:p>
    <w:p>
      <w:pPr>
        <w:pStyle w:val="Compact"/>
        <w:numPr>
          <w:ilvl w:val="0"/>
          <w:numId w:val="1004"/>
        </w:numPr>
      </w:pPr>
      <w:r>
        <w:t xml:space="preserve">Proibir qualquer forma de persistência local ou remota.</w:t>
      </w:r>
    </w:p>
    <w:p>
      <w:pPr>
        <w:pStyle w:val="Compact"/>
        <w:numPr>
          <w:ilvl w:val="0"/>
          <w:numId w:val="1004"/>
        </w:numPr>
      </w:pPr>
      <w:r>
        <w:t xml:space="preserve">Proibir logs textuais sensíveis.</w:t>
      </w:r>
    </w:p>
    <w:bookmarkEnd w:id="29"/>
    <w:bookmarkStart w:id="30" w:name="regra-de-ouro-2"/>
    <w:p>
      <w:pPr>
        <w:pStyle w:val="Heading3"/>
      </w:pPr>
      <w:r>
        <w:t xml:space="preserve">Regra de Ouro</w:t>
      </w:r>
    </w:p>
    <w:p>
      <w:pPr>
        <w:pStyle w:val="FirstParagraph"/>
      </w:pPr>
      <w:r>
        <w:t xml:space="preserve">Sessão termina, tudo desaparece.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macrofase-4-interface-passiva"/>
    <w:p>
      <w:pPr>
        <w:pStyle w:val="Heading2"/>
      </w:pPr>
      <w:r>
        <w:t xml:space="preserve">MACROFASE 4 — INTERFACE PASSIVA</w:t>
      </w:r>
    </w:p>
    <w:bookmarkStart w:id="32" w:name="objetivo-3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Evitar inteligência distribuída.</w:t>
      </w:r>
    </w:p>
    <w:bookmarkEnd w:id="32"/>
    <w:bookmarkStart w:id="33" w:name="diretrizes-3"/>
    <w:p>
      <w:pPr>
        <w:pStyle w:val="Heading3"/>
      </w:pPr>
      <w:r>
        <w:t xml:space="preserve">Diretrizes</w:t>
      </w:r>
    </w:p>
    <w:p>
      <w:pPr>
        <w:pStyle w:val="Compact"/>
        <w:numPr>
          <w:ilvl w:val="0"/>
          <w:numId w:val="1006"/>
        </w:numPr>
      </w:pPr>
      <w:r>
        <w:t xml:space="preserve">Interface apenas coleta entrada e exibe saída.</w:t>
      </w:r>
    </w:p>
    <w:p>
      <w:pPr>
        <w:pStyle w:val="Compact"/>
        <w:numPr>
          <w:ilvl w:val="0"/>
          <w:numId w:val="1006"/>
        </w:numPr>
      </w:pPr>
      <w:r>
        <w:t xml:space="preserve">Componentes permitidos:</w:t>
      </w:r>
    </w:p>
    <w:p>
      <w:pPr>
        <w:pStyle w:val="Compact"/>
        <w:numPr>
          <w:ilvl w:val="1"/>
          <w:numId w:val="1007"/>
        </w:numPr>
      </w:pPr>
      <w:r>
        <w:t xml:space="preserve">Campos de texto</w:t>
      </w:r>
    </w:p>
    <w:p>
      <w:pPr>
        <w:pStyle w:val="Compact"/>
        <w:numPr>
          <w:ilvl w:val="1"/>
          <w:numId w:val="1007"/>
        </w:numPr>
      </w:pPr>
      <w:r>
        <w:t xml:space="preserve">Seletores</w:t>
      </w:r>
    </w:p>
    <w:p>
      <w:pPr>
        <w:pStyle w:val="Compact"/>
        <w:numPr>
          <w:ilvl w:val="1"/>
          <w:numId w:val="1007"/>
        </w:numPr>
      </w:pPr>
      <w:r>
        <w:t xml:space="preserve">Botões explícitos</w:t>
      </w:r>
    </w:p>
    <w:p>
      <w:pPr>
        <w:pStyle w:val="Compact"/>
        <w:numPr>
          <w:ilvl w:val="0"/>
          <w:numId w:val="1006"/>
        </w:numPr>
      </w:pPr>
      <w:r>
        <w:t xml:space="preserve">Cada botão gera exatamente um evento.</w:t>
      </w:r>
    </w:p>
    <w:p>
      <w:pPr>
        <w:pStyle w:val="Compact"/>
        <w:numPr>
          <w:ilvl w:val="0"/>
          <w:numId w:val="1006"/>
        </w:numPr>
      </w:pPr>
      <w:r>
        <w:t xml:space="preserve">Indicadores de estado são apenas visuais.</w:t>
      </w:r>
    </w:p>
    <w:p>
      <w:pPr>
        <w:pStyle w:val="Compact"/>
        <w:numPr>
          <w:ilvl w:val="0"/>
          <w:numId w:val="1006"/>
        </w:numPr>
      </w:pPr>
      <w:r>
        <w:t xml:space="preserve">Interface nunca executa lógica de domínio.</w:t>
      </w:r>
    </w:p>
    <w:bookmarkEnd w:id="33"/>
    <w:bookmarkStart w:id="34" w:name="regra-de-ouro-3"/>
    <w:p>
      <w:pPr>
        <w:pStyle w:val="Heading3"/>
      </w:pPr>
      <w:r>
        <w:t xml:space="preserve">Regra de Ouro</w:t>
      </w:r>
    </w:p>
    <w:p>
      <w:pPr>
        <w:pStyle w:val="FirstParagraph"/>
      </w:pPr>
      <w:r>
        <w:t xml:space="preserve">Interface observa e comunica, nunca decide.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macrofase-5-orquestração-neutra"/>
    <w:p>
      <w:pPr>
        <w:pStyle w:val="Heading2"/>
      </w:pPr>
      <w:r>
        <w:t xml:space="preserve">MACROFASE 5 — ORQUESTRAÇÃO NEUTRA</w:t>
      </w:r>
    </w:p>
    <w:bookmarkStart w:id="36" w:name="objetivo-4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Coordenar ações sem interferir no conteúdo.</w:t>
      </w:r>
    </w:p>
    <w:bookmarkEnd w:id="36"/>
    <w:bookmarkStart w:id="37" w:name="diretrizes-4"/>
    <w:p>
      <w:pPr>
        <w:pStyle w:val="Heading3"/>
      </w:pPr>
      <w:r>
        <w:t xml:space="preserve">Diretrizes</w:t>
      </w:r>
    </w:p>
    <w:p>
      <w:pPr>
        <w:pStyle w:val="Compact"/>
        <w:numPr>
          <w:ilvl w:val="0"/>
          <w:numId w:val="1008"/>
        </w:numPr>
      </w:pPr>
      <w:r>
        <w:t xml:space="preserve">Receber pacotes fechados de dados.</w:t>
      </w:r>
    </w:p>
    <w:p>
      <w:pPr>
        <w:pStyle w:val="Compact"/>
        <w:numPr>
          <w:ilvl w:val="0"/>
          <w:numId w:val="1008"/>
        </w:numPr>
      </w:pPr>
      <w:r>
        <w:t xml:space="preserve">Executar sequência explícita de operações.</w:t>
      </w:r>
    </w:p>
    <w:p>
      <w:pPr>
        <w:pStyle w:val="Compact"/>
        <w:numPr>
          <w:ilvl w:val="0"/>
          <w:numId w:val="1008"/>
        </w:numPr>
      </w:pPr>
      <w:r>
        <w:t xml:space="preserve">Proibir heurísticas, inferências ou otimizações criativas.</w:t>
      </w:r>
    </w:p>
    <w:p>
      <w:pPr>
        <w:pStyle w:val="Compact"/>
        <w:numPr>
          <w:ilvl w:val="0"/>
          <w:numId w:val="1008"/>
        </w:numPr>
      </w:pPr>
      <w:r>
        <w:t xml:space="preserve">Encaminhar dados sem modificações semânticas.</w:t>
      </w:r>
    </w:p>
    <w:bookmarkEnd w:id="37"/>
    <w:bookmarkStart w:id="38" w:name="regra-de-ouro-4"/>
    <w:p>
      <w:pPr>
        <w:pStyle w:val="Heading3"/>
      </w:pPr>
      <w:r>
        <w:t xml:space="preserve">Regra de Ouro</w:t>
      </w:r>
    </w:p>
    <w:p>
      <w:pPr>
        <w:pStyle w:val="FirstParagraph"/>
      </w:pPr>
      <w:r>
        <w:t xml:space="preserve">Orquestrar não é interpretar.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macrofase-6-execução-controlada"/>
    <w:p>
      <w:pPr>
        <w:pStyle w:val="Heading2"/>
      </w:pPr>
      <w:r>
        <w:t xml:space="preserve">MACROFASE 6 — EXECUÇÃO CONTROLADA</w:t>
      </w:r>
    </w:p>
    <w:bookmarkStart w:id="40" w:name="objetivo-5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Limitar escopo e impacto das operações.</w:t>
      </w:r>
    </w:p>
    <w:bookmarkEnd w:id="40"/>
    <w:bookmarkStart w:id="41" w:name="diretrizes-5"/>
    <w:p>
      <w:pPr>
        <w:pStyle w:val="Heading3"/>
      </w:pPr>
      <w:r>
        <w:t xml:space="preserve">Diretrizes</w:t>
      </w:r>
    </w:p>
    <w:p>
      <w:pPr>
        <w:pStyle w:val="Compact"/>
        <w:numPr>
          <w:ilvl w:val="0"/>
          <w:numId w:val="1009"/>
        </w:numPr>
      </w:pPr>
      <w:r>
        <w:t xml:space="preserve">Definir interface única de execução.</w:t>
      </w:r>
    </w:p>
    <w:p>
      <w:pPr>
        <w:pStyle w:val="Compact"/>
        <w:numPr>
          <w:ilvl w:val="0"/>
          <w:numId w:val="1009"/>
        </w:numPr>
      </w:pPr>
      <w:r>
        <w:t xml:space="preserve">Operações não mantêm memória interna.</w:t>
      </w:r>
    </w:p>
    <w:p>
      <w:pPr>
        <w:pStyle w:val="Compact"/>
        <w:numPr>
          <w:ilvl w:val="0"/>
          <w:numId w:val="1009"/>
        </w:numPr>
      </w:pPr>
      <w:r>
        <w:t xml:space="preserve">Cada execução é isolada.</w:t>
      </w:r>
    </w:p>
    <w:p>
      <w:pPr>
        <w:pStyle w:val="Compact"/>
        <w:numPr>
          <w:ilvl w:val="0"/>
          <w:numId w:val="1009"/>
        </w:numPr>
      </w:pPr>
      <w:r>
        <w:t xml:space="preserve">Validar rigorosamente o output:</w:t>
      </w:r>
    </w:p>
    <w:p>
      <w:pPr>
        <w:pStyle w:val="Compact"/>
        <w:numPr>
          <w:ilvl w:val="1"/>
          <w:numId w:val="1010"/>
        </w:numPr>
      </w:pPr>
      <w:r>
        <w:t xml:space="preserve">Forma</w:t>
      </w:r>
    </w:p>
    <w:p>
      <w:pPr>
        <w:pStyle w:val="Compact"/>
        <w:numPr>
          <w:ilvl w:val="1"/>
          <w:numId w:val="1010"/>
        </w:numPr>
      </w:pPr>
      <w:r>
        <w:t xml:space="preserve">Tamanho</w:t>
      </w:r>
    </w:p>
    <w:p>
      <w:pPr>
        <w:pStyle w:val="Compact"/>
        <w:numPr>
          <w:ilvl w:val="1"/>
          <w:numId w:val="1010"/>
        </w:numPr>
      </w:pPr>
      <w:r>
        <w:t xml:space="preserve">Linguagem</w:t>
      </w:r>
    </w:p>
    <w:p>
      <w:pPr>
        <w:pStyle w:val="Compact"/>
        <w:numPr>
          <w:ilvl w:val="1"/>
          <w:numId w:val="1010"/>
        </w:numPr>
      </w:pPr>
      <w:r>
        <w:t xml:space="preserve">Tom</w:t>
      </w:r>
    </w:p>
    <w:bookmarkEnd w:id="41"/>
    <w:bookmarkStart w:id="42" w:name="regra-de-ouro-5"/>
    <w:p>
      <w:pPr>
        <w:pStyle w:val="Heading3"/>
      </w:pPr>
      <w:r>
        <w:t xml:space="preserve">Regra de Ouro</w:t>
      </w:r>
    </w:p>
    <w:p>
      <w:pPr>
        <w:pStyle w:val="FirstParagraph"/>
      </w:pPr>
      <w:r>
        <w:t xml:space="preserve">Executa, responde e encerra.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c4d7fbaf60218b5bd6fd7259d7de5058e67909e"/>
    <w:p>
      <w:pPr>
        <w:pStyle w:val="Heading2"/>
      </w:pPr>
      <w:r>
        <w:t xml:space="preserve">MACROFASE 7 — ENCERRAMENTO, FALHAS E RELEASE</w:t>
      </w:r>
    </w:p>
    <w:bookmarkStart w:id="44" w:name="objetivo-6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Fechar ciclos com controle total.</w:t>
      </w:r>
    </w:p>
    <w:bookmarkEnd w:id="44"/>
    <w:bookmarkStart w:id="45" w:name="diretrizes-6"/>
    <w:p>
      <w:pPr>
        <w:pStyle w:val="Heading3"/>
      </w:pPr>
      <w:r>
        <w:t xml:space="preserve">Diretrizes</w:t>
      </w:r>
    </w:p>
    <w:p>
      <w:pPr>
        <w:pStyle w:val="Compact"/>
        <w:numPr>
          <w:ilvl w:val="0"/>
          <w:numId w:val="1011"/>
        </w:numPr>
      </w:pPr>
      <w:r>
        <w:t xml:space="preserve">Tratar falhas de forma explícita.</w:t>
      </w:r>
    </w:p>
    <w:p>
      <w:pPr>
        <w:pStyle w:val="Compact"/>
        <w:numPr>
          <w:ilvl w:val="0"/>
          <w:numId w:val="1011"/>
        </w:numPr>
      </w:pPr>
      <w:r>
        <w:t xml:space="preserve">Garantir retorno a estados seguros.</w:t>
      </w:r>
    </w:p>
    <w:p>
      <w:pPr>
        <w:pStyle w:val="Compact"/>
        <w:numPr>
          <w:ilvl w:val="0"/>
          <w:numId w:val="1011"/>
        </w:numPr>
      </w:pPr>
      <w:r>
        <w:t xml:space="preserve">Exigir confirmação consciente para encerramento.</w:t>
      </w:r>
    </w:p>
    <w:p>
      <w:pPr>
        <w:pStyle w:val="Compact"/>
        <w:numPr>
          <w:ilvl w:val="0"/>
          <w:numId w:val="1011"/>
        </w:numPr>
      </w:pPr>
      <w:r>
        <w:t xml:space="preserve">Limpar completamente a memória.</w:t>
      </w:r>
    </w:p>
    <w:p>
      <w:pPr>
        <w:pStyle w:val="Compact"/>
        <w:numPr>
          <w:ilvl w:val="0"/>
          <w:numId w:val="1011"/>
        </w:numPr>
      </w:pPr>
      <w:r>
        <w:t xml:space="preserve">Aplicar versionamento semântico.</w:t>
      </w:r>
    </w:p>
    <w:p>
      <w:pPr>
        <w:pStyle w:val="Compact"/>
        <w:numPr>
          <w:ilvl w:val="0"/>
          <w:numId w:val="1011"/>
        </w:numPr>
      </w:pPr>
      <w:r>
        <w:t xml:space="preserve">Registrar impacto de mudanças.</w:t>
      </w:r>
    </w:p>
    <w:p>
      <w:pPr>
        <w:pStyle w:val="Compact"/>
        <w:numPr>
          <w:ilvl w:val="0"/>
          <w:numId w:val="1011"/>
        </w:numPr>
      </w:pPr>
      <w:r>
        <w:t xml:space="preserve">Executar checklist de liberação.</w:t>
      </w:r>
    </w:p>
    <w:p>
      <w:pPr>
        <w:pStyle w:val="Compact"/>
        <w:numPr>
          <w:ilvl w:val="0"/>
          <w:numId w:val="1011"/>
        </w:numPr>
      </w:pPr>
      <w:r>
        <w:t xml:space="preserve">Realizar monitoramento passivo.</w:t>
      </w:r>
    </w:p>
    <w:p>
      <w:pPr>
        <w:pStyle w:val="Compact"/>
        <w:numPr>
          <w:ilvl w:val="0"/>
          <w:numId w:val="1011"/>
        </w:numPr>
      </w:pPr>
      <w:r>
        <w:t xml:space="preserve">Auditar deriva entre código e contrato.</w:t>
      </w:r>
    </w:p>
    <w:bookmarkEnd w:id="45"/>
    <w:bookmarkStart w:id="46" w:name="regra-de-ouro-6"/>
    <w:p>
      <w:pPr>
        <w:pStyle w:val="Heading3"/>
      </w:pPr>
      <w:r>
        <w:t xml:space="preserve">Regra de Ouro</w:t>
      </w:r>
    </w:p>
    <w:p>
      <w:pPr>
        <w:pStyle w:val="FirstParagraph"/>
      </w:pPr>
      <w:r>
        <w:t xml:space="preserve">Nada evolui sem conformidade.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rincípios-transversais-sempre-ativos"/>
    <w:p>
      <w:pPr>
        <w:pStyle w:val="Heading2"/>
      </w:pPr>
      <w:r>
        <w:t xml:space="preserve">PRINCÍPIOS TRANSVERSAIS (SEMPRE ATIVOS)</w:t>
      </w:r>
    </w:p>
    <w:p>
      <w:pPr>
        <w:pStyle w:val="Compact"/>
        <w:numPr>
          <w:ilvl w:val="0"/>
          <w:numId w:val="1012"/>
        </w:numPr>
      </w:pPr>
      <w:r>
        <w:t xml:space="preserve">Tudo é explícito.</w:t>
      </w:r>
    </w:p>
    <w:p>
      <w:pPr>
        <w:pStyle w:val="Compact"/>
        <w:numPr>
          <w:ilvl w:val="0"/>
          <w:numId w:val="1012"/>
        </w:numPr>
      </w:pPr>
      <w:r>
        <w:t xml:space="preserve">Tudo é auditável.</w:t>
      </w:r>
    </w:p>
    <w:p>
      <w:pPr>
        <w:pStyle w:val="Compact"/>
        <w:numPr>
          <w:ilvl w:val="0"/>
          <w:numId w:val="1012"/>
        </w:numPr>
      </w:pPr>
      <w:r>
        <w:t xml:space="preserve">Nada implícito é permitido.</w:t>
      </w:r>
    </w:p>
    <w:p>
      <w:pPr>
        <w:pStyle w:val="Compact"/>
        <w:numPr>
          <w:ilvl w:val="0"/>
          <w:numId w:val="1012"/>
        </w:numPr>
      </w:pPr>
      <w:r>
        <w:t xml:space="preserve">Segurança precede funcionalidade.</w:t>
      </w:r>
    </w:p>
    <w:p>
      <w:pPr>
        <w:pStyle w:val="Compact"/>
        <w:numPr>
          <w:ilvl w:val="0"/>
          <w:numId w:val="1012"/>
        </w:numPr>
      </w:pPr>
      <w:r>
        <w:t xml:space="preserve">Contrato precede implementação.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Este documento pode ser aplicado, copiado ou adaptado para qualquer projeto que exija previsibilidade, segurança e controle estrutural.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2025-12-31T18:02:40Z</dcterms:created>
  <dcterms:modified xsi:type="dcterms:W3CDTF">2025-12-31T18:02:40Z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