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núcleo-de-agentes-cognitivos-nac"/>
    <w:p>
      <w:pPr>
        <w:pStyle w:val="Heading1"/>
      </w:pPr>
      <w:r>
        <w:t xml:space="preserve">Núcleo de Agentes Cognitivos (NAC)</w:t>
      </w:r>
    </w:p>
    <w:p>
      <w:pPr>
        <w:pStyle w:val="BlockText"/>
      </w:pPr>
      <w:r>
        <w:rPr>
          <w:b/>
          <w:bCs/>
        </w:rPr>
        <w:t xml:space="preserve">Nota sobre o Canvas:</w:t>
      </w:r>
      <w:r>
        <w:t xml:space="preserve"> </w:t>
      </w:r>
      <w:r>
        <w:t xml:space="preserve">Documento criado no Canvas (fundo escuro padrão da ferramenta).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define diretriz de UI/visual do núcleo.</w:t>
      </w:r>
      <w:r>
        <w:br/>
      </w:r>
      <w:r>
        <w:rPr>
          <w:b/>
          <w:bCs/>
        </w:rPr>
        <w:t xml:space="preserve">Regra:</w:t>
      </w:r>
      <w:r>
        <w:t xml:space="preserve"> </w:t>
      </w:r>
      <w:r>
        <w:t xml:space="preserve">Este núcleo nunca é acessado durante uma sessão clínica ativa.</w:t>
      </w:r>
    </w:p>
    <w:p>
      <w:r>
        <w:pict>
          <v:rect style="width:0;height:1.5pt" o:hralign="center" o:hrstd="t" o:hr="t"/>
        </w:pict>
      </w:r>
    </w:p>
    <w:bookmarkStart w:id="20" w:name="propósito-do-núcleo"/>
    <w:p>
      <w:pPr>
        <w:pStyle w:val="Heading2"/>
      </w:pPr>
      <w:r>
        <w:t xml:space="preserve">1. Propósito do Núcleo</w:t>
      </w:r>
    </w:p>
    <w:p>
      <w:pPr>
        <w:pStyle w:val="FirstParagraph"/>
      </w:pPr>
      <w:r>
        <w:t xml:space="preserve">O Núcleo de Agentes Cognitivos (NAC) existe para transformar agentes de IA em</w:t>
      </w:r>
      <w:r>
        <w:t xml:space="preserve"> </w:t>
      </w:r>
      <w:r>
        <w:rPr>
          <w:b/>
          <w:bCs/>
        </w:rPr>
        <w:t xml:space="preserve">personificações clínicas treináveis</w:t>
      </w:r>
      <w:r>
        <w:t xml:space="preserve">, com identidade cognitiva própria, estilo de raciocínio consistente e limites éticos explícitos.</w:t>
      </w:r>
    </w:p>
    <w:p>
      <w:pPr>
        <w:pStyle w:val="BodyText"/>
      </w:pPr>
      <w:r>
        <w:t xml:space="preserve">Os agentes deixam de ser</w:t>
      </w:r>
      <w:r>
        <w:t xml:space="preserve"> </w:t>
      </w:r>
      <w:r>
        <w:t xml:space="preserve">“abordagens”</w:t>
      </w:r>
      <w:r>
        <w:t xml:space="preserve"> </w:t>
      </w:r>
      <w:r>
        <w:t xml:space="preserve">ou</w:t>
      </w:r>
      <w:r>
        <w:t xml:space="preserve"> </w:t>
      </w:r>
      <w:r>
        <w:t xml:space="preserve">“filtros”</w:t>
      </w:r>
      <w:r>
        <w:t xml:space="preserve"> </w:t>
      </w:r>
      <w:r>
        <w:t xml:space="preserve">e passam a operar como</w:t>
      </w:r>
      <w:r>
        <w:t xml:space="preserve"> </w:t>
      </w:r>
      <w:r>
        <w:rPr>
          <w:b/>
          <w:bCs/>
        </w:rPr>
        <w:t xml:space="preserve">entidades conceituais</w:t>
      </w:r>
      <w:r>
        <w:t xml:space="preserve">, que:</w:t>
      </w:r>
      <w:r>
        <w:t xml:space="preserve"> </w:t>
      </w:r>
      <w:r>
        <w:t xml:space="preserve">- pensam segundo um modelo teórico específico</w:t>
      </w:r>
      <w:r>
        <w:t xml:space="preserve"> </w:t>
      </w:r>
      <w:r>
        <w:t xml:space="preserve">- priorizam certos tipos de hipótese</w:t>
      </w:r>
      <w:r>
        <w:t xml:space="preserve"> </w:t>
      </w:r>
      <w:r>
        <w:t xml:space="preserve">- utilizam linguagem característica</w:t>
      </w:r>
      <w:r>
        <w:t xml:space="preserve"> </w:t>
      </w:r>
      <w:r>
        <w:t xml:space="preserve">- propõem intervenções coerentes com sua escola</w:t>
      </w:r>
    </w:p>
    <w:p>
      <w:pPr>
        <w:pStyle w:val="BodyText"/>
      </w:pPr>
      <w:r>
        <w:t xml:space="preserve">O NAC</w:t>
      </w:r>
      <w:r>
        <w:t xml:space="preserve"> </w:t>
      </w:r>
      <w:r>
        <w:rPr>
          <w:b/>
          <w:bCs/>
        </w:rPr>
        <w:t xml:space="preserve">não executa clínica</w:t>
      </w:r>
      <w:r>
        <w:t xml:space="preserve">. Ele prepara, treina e governa os agentes que atuarão como consultores durante o atendimento.</w:t>
      </w:r>
    </w:p>
    <w:p>
      <w:r>
        <w:pict>
          <v:rect style="width:0;height:1.5pt" o:hralign="center" o:hrstd="t" o:hr="t"/>
        </w:pict>
      </w:r>
    </w:p>
    <w:bookmarkEnd w:id="20"/>
    <w:bookmarkStart w:id="21" w:name="agentes-base-do-sistema"/>
    <w:p>
      <w:pPr>
        <w:pStyle w:val="Heading2"/>
      </w:pPr>
      <w:r>
        <w:t xml:space="preserve">2. Agentes Base do Sistema</w:t>
      </w:r>
    </w:p>
    <w:p>
      <w:pPr>
        <w:pStyle w:val="FirstParagraph"/>
      </w:pPr>
      <w:r>
        <w:t xml:space="preserve">O sistema inicia com três agentes canônicos:</w:t>
      </w:r>
    </w:p>
    <w:p>
      <w:pPr>
        <w:pStyle w:val="Compact"/>
        <w:numPr>
          <w:ilvl w:val="0"/>
          <w:numId w:val="1001"/>
        </w:numPr>
      </w:pPr>
      <w:r>
        <w:t xml:space="preserve">Milton Erickson (Hipnose Ericksoniana)</w:t>
      </w:r>
    </w:p>
    <w:p>
      <w:pPr>
        <w:pStyle w:val="Compact"/>
        <w:numPr>
          <w:ilvl w:val="0"/>
          <w:numId w:val="1001"/>
        </w:numPr>
      </w:pPr>
      <w:r>
        <w:t xml:space="preserve">Jeffrey K. Zeig (Estratégia e ensino ericksoniano)</w:t>
      </w:r>
    </w:p>
    <w:p>
      <w:pPr>
        <w:pStyle w:val="Compact"/>
        <w:numPr>
          <w:ilvl w:val="0"/>
          <w:numId w:val="1001"/>
        </w:numPr>
      </w:pPr>
      <w:r>
        <w:t xml:space="preserve">Bandler &amp; Grinder (PNL)</w:t>
      </w:r>
    </w:p>
    <w:p>
      <w:pPr>
        <w:pStyle w:val="FirstParagraph"/>
      </w:pPr>
      <w:r>
        <w:t xml:space="preserve">Cada agente possui:</w:t>
      </w:r>
      <w:r>
        <w:t xml:space="preserve"> </w:t>
      </w:r>
      <w:r>
        <w:t xml:space="preserve">- identidade cognitiva própria</w:t>
      </w:r>
      <w:r>
        <w:t xml:space="preserve"> </w:t>
      </w:r>
      <w:r>
        <w:t xml:space="preserve">- biblioteca de conhecimento específica</w:t>
      </w:r>
      <w:r>
        <w:t xml:space="preserve"> </w:t>
      </w:r>
      <w:r>
        <w:t xml:space="preserve">- parâmetros de raciocínio independentes</w:t>
      </w:r>
      <w:r>
        <w:t xml:space="preserve"> </w:t>
      </w:r>
      <w:r>
        <w:t xml:space="preserve">- histórico de treinamento versionado</w:t>
      </w:r>
    </w:p>
    <w:p>
      <w:r>
        <w:pict>
          <v:rect style="width:0;height:1.5pt" o:hralign="center" o:hrstd="t" o:hr="t"/>
        </w:pict>
      </w:r>
    </w:p>
    <w:bookmarkEnd w:id="21"/>
    <w:bookmarkStart w:id="22" w:name="estrutura-geral-do-núcleo"/>
    <w:p>
      <w:pPr>
        <w:pStyle w:val="Heading2"/>
      </w:pPr>
      <w:r>
        <w:t xml:space="preserve">3. Estrutura Geral do Núcleo</w:t>
      </w:r>
    </w:p>
    <w:p>
      <w:pPr>
        <w:pStyle w:val="FirstParagraph"/>
      </w:pPr>
      <w:r>
        <w:t xml:space="preserve">O NAC é dividido em</w:t>
      </w:r>
      <w:r>
        <w:t xml:space="preserve"> </w:t>
      </w:r>
      <w:r>
        <w:rPr>
          <w:b/>
          <w:bCs/>
        </w:rPr>
        <w:t xml:space="preserve">dois subsistemas principais</w:t>
      </w:r>
      <w:r>
        <w:t xml:space="preserve">, ambos acessados pelo menu</w:t>
      </w:r>
      <w:r>
        <w:t xml:space="preserve"> </w:t>
      </w:r>
      <w:r>
        <w:rPr>
          <w:b/>
          <w:bCs/>
        </w:rPr>
        <w:t xml:space="preserve">Análises (IA)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Análises (IA)</w:t>
      </w:r>
      <w:r>
        <w:br/>
      </w:r>
      <w:r>
        <w:rPr>
          <w:rStyle w:val="VerbatimChar"/>
        </w:rPr>
        <w:t xml:space="preserve">├─ Consultas Clínicas (já existente)</w:t>
      </w:r>
      <w:r>
        <w:br/>
      </w:r>
      <w:r>
        <w:rPr>
          <w:rStyle w:val="VerbatimChar"/>
        </w:rPr>
        <w:t xml:space="preserve">└─ Treinamento dos Agentes (novo)</w:t>
      </w:r>
    </w:p>
    <w:p>
      <w:r>
        <w:pict>
          <v:rect style="width:0;height:1.5pt" o:hralign="center" o:hrstd="t" o:hr="t"/>
        </w:pict>
      </w:r>
    </w:p>
    <w:bookmarkEnd w:id="22"/>
    <w:bookmarkStart w:id="26" w:name="subnúcleo-treinamento-dos-agentes"/>
    <w:p>
      <w:pPr>
        <w:pStyle w:val="Heading2"/>
      </w:pPr>
      <w:r>
        <w:t xml:space="preserve">4. Subnúcleo: Treinamento dos Agentes</w:t>
      </w:r>
    </w:p>
    <w:bookmarkStart w:id="23" w:name="função"/>
    <w:p>
      <w:pPr>
        <w:pStyle w:val="Heading3"/>
      </w:pPr>
      <w:r>
        <w:t xml:space="preserve">4.1 Função</w:t>
      </w:r>
    </w:p>
    <w:p>
      <w:pPr>
        <w:pStyle w:val="FirstParagraph"/>
      </w:pPr>
      <w:r>
        <w:t xml:space="preserve">Permitir que o terapeuta</w:t>
      </w:r>
      <w:r>
        <w:t xml:space="preserve"> </w:t>
      </w:r>
      <w:r>
        <w:rPr>
          <w:b/>
          <w:bCs/>
        </w:rPr>
        <w:t xml:space="preserve">treine o modo de pensar do agente</w:t>
      </w:r>
      <w:r>
        <w:t xml:space="preserve">, e não respostas prontas.</w:t>
      </w:r>
    </w:p>
    <w:p>
      <w:pPr>
        <w:pStyle w:val="BodyText"/>
      </w:pPr>
      <w:r>
        <w:t xml:space="preserve">O foco do treinamento é:</w:t>
      </w:r>
      <w:r>
        <w:t xml:space="preserve"> </w:t>
      </w:r>
      <w:r>
        <w:t xml:space="preserve">- estilo de raciocínio</w:t>
      </w:r>
      <w:r>
        <w:t xml:space="preserve"> </w:t>
      </w:r>
      <w:r>
        <w:t xml:space="preserve">- tipo de hipótese gerada</w:t>
      </w:r>
      <w:r>
        <w:t xml:space="preserve"> </w:t>
      </w:r>
      <w:r>
        <w:t xml:space="preserve">- postura clínica</w:t>
      </w:r>
      <w:r>
        <w:t xml:space="preserve"> </w:t>
      </w:r>
      <w:r>
        <w:t xml:space="preserve">- tolerância à ambiguidade</w:t>
      </w:r>
      <w:r>
        <w:t xml:space="preserve"> </w:t>
      </w:r>
      <w:r>
        <w:t xml:space="preserve">- padrão linguístico</w:t>
      </w:r>
    </w:p>
    <w:p>
      <w:r>
        <w:pict>
          <v:rect style="width:0;height:1.5pt" o:hralign="center" o:hrstd="t" o:hr="t"/>
        </w:pict>
      </w:r>
    </w:p>
    <w:bookmarkEnd w:id="23"/>
    <w:bookmarkStart w:id="24" w:name="conteúdos-de-treinamento"/>
    <w:p>
      <w:pPr>
        <w:pStyle w:val="Heading3"/>
      </w:pPr>
      <w:r>
        <w:t xml:space="preserve">4.2 Conteúdos de Treinamento</w:t>
      </w:r>
    </w:p>
    <w:p>
      <w:pPr>
        <w:pStyle w:val="FirstParagraph"/>
      </w:pPr>
      <w:r>
        <w:t xml:space="preserve">Podem ser inseridos no treinamento:</w:t>
      </w:r>
      <w:r>
        <w:t xml:space="preserve"> </w:t>
      </w:r>
      <w:r>
        <w:t xml:space="preserve">- trechos de livros</w:t>
      </w:r>
      <w:r>
        <w:t xml:space="preserve"> </w:t>
      </w:r>
      <w:r>
        <w:t xml:space="preserve">- aulas e palestras</w:t>
      </w:r>
      <w:r>
        <w:t xml:space="preserve"> </w:t>
      </w:r>
      <w:r>
        <w:t xml:space="preserve">- transcrições comentadas</w:t>
      </w:r>
      <w:r>
        <w:t xml:space="preserve"> </w:t>
      </w:r>
      <w:r>
        <w:t xml:space="preserve">- estudos de caso</w:t>
      </w:r>
      <w:r>
        <w:t xml:space="preserve"> </w:t>
      </w:r>
      <w:r>
        <w:t xml:space="preserve">- princípios explícitos (ex:</w:t>
      </w:r>
      <w:r>
        <w:t xml:space="preserve"> </w:t>
      </w:r>
      <w:r>
        <w:t xml:space="preserve">“evitar confrontação direta”</w:t>
      </w:r>
      <w:r>
        <w:t xml:space="preserve">)</w:t>
      </w:r>
    </w:p>
    <w:p>
      <w:pPr>
        <w:pStyle w:val="BodyText"/>
      </w:pPr>
      <w:r>
        <w:t xml:space="preserve">Cada conteúdo recebe metadados:</w:t>
      </w:r>
      <w:r>
        <w:t xml:space="preserve"> </w:t>
      </w:r>
      <w:r>
        <w:t xml:space="preserve">- tipo (livro, aula, caso, princípio)</w:t>
      </w:r>
      <w:r>
        <w:t xml:space="preserve"> </w:t>
      </w:r>
      <w:r>
        <w:t xml:space="preserve">- peso cognitivo</w:t>
      </w:r>
      <w:r>
        <w:t xml:space="preserve"> </w:t>
      </w:r>
      <w:r>
        <w:t xml:space="preserve">- data de inclusão</w:t>
      </w:r>
      <w:r>
        <w:t xml:space="preserve"> </w:t>
      </w:r>
      <w:r>
        <w:t xml:space="preserve">- versão do agente</w:t>
      </w:r>
    </w:p>
    <w:p>
      <w:r>
        <w:pict>
          <v:rect style="width:0;height:1.5pt" o:hralign="center" o:hrstd="t" o:hr="t"/>
        </w:pict>
      </w:r>
    </w:p>
    <w:bookmarkEnd w:id="24"/>
    <w:bookmarkStart w:id="25" w:name="resultado-do-treinamento"/>
    <w:p>
      <w:pPr>
        <w:pStyle w:val="Heading3"/>
      </w:pPr>
      <w:r>
        <w:t xml:space="preserve">4.3 Resultado do Treinamento</w:t>
      </w:r>
    </w:p>
    <w:p>
      <w:pPr>
        <w:pStyle w:val="FirstParagraph"/>
      </w:pPr>
      <w:r>
        <w:t xml:space="preserve">O treinamento</w:t>
      </w:r>
      <w:r>
        <w:t xml:space="preserve"> </w:t>
      </w:r>
      <w:r>
        <w:rPr>
          <w:b/>
          <w:bCs/>
        </w:rPr>
        <w:t xml:space="preserve">não gera respostas automáticas</w:t>
      </w:r>
      <w:r>
        <w:t xml:space="preserve">.</w:t>
      </w:r>
    </w:p>
    <w:p>
      <w:pPr>
        <w:pStyle w:val="BodyText"/>
      </w:pPr>
      <w:r>
        <w:t xml:space="preserve">Ele atualiza:</w:t>
      </w:r>
      <w:r>
        <w:t xml:space="preserve"> </w:t>
      </w:r>
      <w:r>
        <w:t xml:space="preserve">- o perfil cognitivo do agente</w:t>
      </w:r>
      <w:r>
        <w:t xml:space="preserve"> </w:t>
      </w:r>
      <w:r>
        <w:t xml:space="preserve">- suas prioridades internas</w:t>
      </w:r>
      <w:r>
        <w:t xml:space="preserve"> </w:t>
      </w:r>
      <w:r>
        <w:t xml:space="preserve">- sua forma de estruturar hipóteses</w:t>
      </w:r>
    </w:p>
    <w:p>
      <w:pPr>
        <w:pStyle w:val="BodyText"/>
      </w:pPr>
      <w:r>
        <w:t xml:space="preserve">Todo treinamento é:</w:t>
      </w:r>
      <w:r>
        <w:t xml:space="preserve"> </w:t>
      </w:r>
      <w:r>
        <w:t xml:space="preserve">- explícito</w:t>
      </w:r>
      <w:r>
        <w:t xml:space="preserve"> </w:t>
      </w:r>
      <w:r>
        <w:t xml:space="preserve">- rastreável</w:t>
      </w:r>
      <w:r>
        <w:t xml:space="preserve"> </w:t>
      </w:r>
      <w:r>
        <w:t xml:space="preserve">- versionado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072c00f17de9888adb7ff96a6139404fbc31759"/>
    <w:p>
      <w:pPr>
        <w:pStyle w:val="Heading2"/>
      </w:pPr>
      <w:r>
        <w:t xml:space="preserve">5. Subnúcleo: Biblioteca de Conhecimento dos Agentes</w:t>
      </w:r>
    </w:p>
    <w:bookmarkStart w:id="27" w:name="conceito"/>
    <w:p>
      <w:pPr>
        <w:pStyle w:val="Heading3"/>
      </w:pPr>
      <w:r>
        <w:t xml:space="preserve">5.1 Conceito</w:t>
      </w:r>
    </w:p>
    <w:p>
      <w:pPr>
        <w:pStyle w:val="FirstParagraph"/>
      </w:pPr>
      <w:r>
        <w:t xml:space="preserve">A biblioteca não é um repositório passivo de PDFs.</w:t>
      </w:r>
    </w:p>
    <w:p>
      <w:pPr>
        <w:pStyle w:val="BodyText"/>
      </w:pPr>
      <w:r>
        <w:t xml:space="preserve">Ela é um</w:t>
      </w:r>
      <w:r>
        <w:t xml:space="preserve"> </w:t>
      </w:r>
      <w:r>
        <w:rPr>
          <w:b/>
          <w:bCs/>
        </w:rPr>
        <w:t xml:space="preserve">corpus semântico estruturado</w:t>
      </w:r>
      <w:r>
        <w:t xml:space="preserve">, utilizado como base de raciocínio dos agentes.</w:t>
      </w:r>
    </w:p>
    <w:p>
      <w:r>
        <w:pict>
          <v:rect style="width:0;height:1.5pt" o:hralign="center" o:hrstd="t" o:hr="t"/>
        </w:pict>
      </w:r>
    </w:p>
    <w:bookmarkEnd w:id="27"/>
    <w:bookmarkStart w:id="28" w:name="tipos-de-biblioteca"/>
    <w:p>
      <w:pPr>
        <w:pStyle w:val="Heading3"/>
      </w:pPr>
      <w:r>
        <w:t xml:space="preserve">5.2 Tipos de Biblioteca</w:t>
      </w:r>
    </w:p>
    <w:p>
      <w:pPr>
        <w:pStyle w:val="FirstParagraph"/>
      </w:pPr>
      <w:r>
        <w:t xml:space="preserve">Cada agente possui acesso 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Biblioteca Compartilhada</w:t>
      </w:r>
    </w:p>
    <w:p>
      <w:pPr>
        <w:pStyle w:val="Compact"/>
        <w:numPr>
          <w:ilvl w:val="1"/>
          <w:numId w:val="1003"/>
        </w:numPr>
      </w:pPr>
      <w:r>
        <w:t xml:space="preserve">psicopatologia geral</w:t>
      </w:r>
    </w:p>
    <w:p>
      <w:pPr>
        <w:pStyle w:val="Compact"/>
        <w:numPr>
          <w:ilvl w:val="1"/>
          <w:numId w:val="1003"/>
        </w:numPr>
      </w:pPr>
      <w:r>
        <w:t xml:space="preserve">ética clínica</w:t>
      </w:r>
    </w:p>
    <w:p>
      <w:pPr>
        <w:pStyle w:val="Compact"/>
        <w:numPr>
          <w:ilvl w:val="1"/>
          <w:numId w:val="1003"/>
        </w:numPr>
      </w:pPr>
      <w:r>
        <w:t xml:space="preserve">princípios terapêuticos universais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Biblioteca Específica do Agente</w:t>
      </w:r>
    </w:p>
    <w:p>
      <w:pPr>
        <w:pStyle w:val="Compact"/>
        <w:numPr>
          <w:ilvl w:val="1"/>
          <w:numId w:val="1004"/>
        </w:numPr>
      </w:pPr>
      <w:r>
        <w:t xml:space="preserve">conceitos próprios da escola</w:t>
      </w:r>
    </w:p>
    <w:p>
      <w:pPr>
        <w:pStyle w:val="Compact"/>
        <w:numPr>
          <w:ilvl w:val="1"/>
          <w:numId w:val="1004"/>
        </w:numPr>
      </w:pPr>
      <w:r>
        <w:t xml:space="preserve">técnicas exclusivas</w:t>
      </w:r>
    </w:p>
    <w:p>
      <w:pPr>
        <w:pStyle w:val="Compact"/>
        <w:numPr>
          <w:ilvl w:val="1"/>
          <w:numId w:val="1004"/>
        </w:numPr>
      </w:pPr>
      <w:r>
        <w:t xml:space="preserve">exemplos e contraexemplos</w:t>
      </w:r>
    </w:p>
    <w:p>
      <w:pPr>
        <w:pStyle w:val="Compact"/>
        <w:numPr>
          <w:ilvl w:val="1"/>
          <w:numId w:val="1004"/>
        </w:numPr>
      </w:pPr>
      <w:r>
        <w:t xml:space="preserve">limites explícitos da abordagem</w:t>
      </w:r>
    </w:p>
    <w:p>
      <w:r>
        <w:pict>
          <v:rect style="width:0;height:1.5pt" o:hralign="center" o:hrstd="t" o:hr="t"/>
        </w:pict>
      </w:r>
    </w:p>
    <w:bookmarkEnd w:id="28"/>
    <w:bookmarkStart w:id="29" w:name="indexação"/>
    <w:p>
      <w:pPr>
        <w:pStyle w:val="Heading3"/>
      </w:pPr>
      <w:r>
        <w:t xml:space="preserve">5.3 Indexação</w:t>
      </w:r>
    </w:p>
    <w:p>
      <w:pPr>
        <w:pStyle w:val="FirstParagraph"/>
      </w:pPr>
      <w:r>
        <w:t xml:space="preserve">Os conteúdos são indexados por:</w:t>
      </w:r>
      <w:r>
        <w:t xml:space="preserve"> </w:t>
      </w:r>
      <w:r>
        <w:t xml:space="preserve">- conceitos</w:t>
      </w:r>
      <w:r>
        <w:t xml:space="preserve"> </w:t>
      </w:r>
      <w:r>
        <w:t xml:space="preserve">- técnicas</w:t>
      </w:r>
      <w:r>
        <w:t xml:space="preserve"> </w:t>
      </w:r>
      <w:r>
        <w:t xml:space="preserve">- exemplos clínicos</w:t>
      </w:r>
      <w:r>
        <w:t xml:space="preserve"> </w:t>
      </w:r>
      <w:r>
        <w:t xml:space="preserve">- exceções</w:t>
      </w:r>
      <w:r>
        <w:t xml:space="preserve"> </w:t>
      </w:r>
      <w:r>
        <w:t xml:space="preserve">- contraindicações</w:t>
      </w:r>
    </w:p>
    <w:p>
      <w:pPr>
        <w:pStyle w:val="BodyText"/>
      </w:pPr>
      <w:r>
        <w:t xml:space="preserve">Essa indexação permite:</w:t>
      </w:r>
      <w:r>
        <w:t xml:space="preserve"> </w:t>
      </w:r>
      <w:r>
        <w:t xml:space="preserve">- respostas coerentes</w:t>
      </w:r>
      <w:r>
        <w:t xml:space="preserve"> </w:t>
      </w:r>
      <w:r>
        <w:t xml:space="preserve">- refutação interna</w:t>
      </w:r>
      <w:r>
        <w:t xml:space="preserve"> </w:t>
      </w:r>
      <w:r>
        <w:t xml:space="preserve">- prevenção de viés de confirmação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governança-e-segurança"/>
    <w:p>
      <w:pPr>
        <w:pStyle w:val="Heading2"/>
      </w:pPr>
      <w:r>
        <w:t xml:space="preserve">6. Governança e Segurança</w:t>
      </w:r>
    </w:p>
    <w:p>
      <w:pPr>
        <w:pStyle w:val="FirstParagraph"/>
      </w:pPr>
      <w:r>
        <w:t xml:space="preserve">Regras inegociáveis do NAC:</w:t>
      </w:r>
    </w:p>
    <w:p>
      <w:pPr>
        <w:pStyle w:val="Compact"/>
        <w:numPr>
          <w:ilvl w:val="0"/>
          <w:numId w:val="1005"/>
        </w:numPr>
      </w:pPr>
      <w:r>
        <w:t xml:space="preserve">agentes</w:t>
      </w:r>
      <w:r>
        <w:t xml:space="preserve"> </w:t>
      </w:r>
      <w:r>
        <w:rPr>
          <w:b/>
          <w:bCs/>
        </w:rPr>
        <w:t xml:space="preserve">nunca treinam sozinhos</w:t>
      </w:r>
    </w:p>
    <w:p>
      <w:pPr>
        <w:pStyle w:val="Compact"/>
        <w:numPr>
          <w:ilvl w:val="0"/>
          <w:numId w:val="1005"/>
        </w:numPr>
      </w:pPr>
      <w:r>
        <w:t xml:space="preserve">nenhum treinamento ocorre durante sessão ativa</w:t>
      </w:r>
    </w:p>
    <w:p>
      <w:pPr>
        <w:pStyle w:val="Compact"/>
        <w:numPr>
          <w:ilvl w:val="0"/>
          <w:numId w:val="1005"/>
        </w:numPr>
      </w:pPr>
      <w:r>
        <w:t xml:space="preserve">agentes</w:t>
      </w:r>
      <w:r>
        <w:t xml:space="preserve"> </w:t>
      </w:r>
      <w:r>
        <w:rPr>
          <w:b/>
          <w:bCs/>
        </w:rPr>
        <w:t xml:space="preserve">nunca executam intervenção clínica</w:t>
      </w:r>
    </w:p>
    <w:p>
      <w:pPr>
        <w:pStyle w:val="Compact"/>
        <w:numPr>
          <w:ilvl w:val="0"/>
          <w:numId w:val="1005"/>
        </w:numPr>
      </w:pPr>
      <w:r>
        <w:t xml:space="preserve">toda resposta é</w:t>
      </w:r>
      <w:r>
        <w:t xml:space="preserve"> </w:t>
      </w:r>
      <w:r>
        <w:rPr>
          <w:b/>
          <w:bCs/>
        </w:rPr>
        <w:t xml:space="preserve">proposta</w:t>
      </w:r>
      <w:r>
        <w:t xml:space="preserve">, nunca decisão</w:t>
      </w:r>
    </w:p>
    <w:p>
      <w:pPr>
        <w:pStyle w:val="Compact"/>
        <w:numPr>
          <w:ilvl w:val="0"/>
          <w:numId w:val="1005"/>
        </w:numPr>
      </w:pPr>
      <w:r>
        <w:t xml:space="preserve">humano é sempre a autoridade final</w:t>
      </w:r>
    </w:p>
    <w:p>
      <w:pPr>
        <w:pStyle w:val="FirstParagraph"/>
      </w:pPr>
      <w:r>
        <w:t xml:space="preserve">Essas regras protegem:</w:t>
      </w:r>
      <w:r>
        <w:t xml:space="preserve"> </w:t>
      </w:r>
      <w:r>
        <w:t xml:space="preserve">- o paciente</w:t>
      </w:r>
      <w:r>
        <w:t xml:space="preserve"> </w:t>
      </w:r>
      <w:r>
        <w:t xml:space="preserve">- o terapeuta</w:t>
      </w:r>
      <w:r>
        <w:t xml:space="preserve"> </w:t>
      </w:r>
      <w:r>
        <w:t xml:space="preserve">- o sistema</w:t>
      </w:r>
    </w:p>
    <w:p>
      <w:r>
        <w:pict>
          <v:rect style="width:0;height:1.5pt" o:hralign="center" o:hrstd="t" o:hr="t"/>
        </w:pict>
      </w:r>
    </w:p>
    <w:bookmarkEnd w:id="31"/>
    <w:bookmarkStart w:id="32" w:name="relação-com-o-núcleo-clínico"/>
    <w:p>
      <w:pPr>
        <w:pStyle w:val="Heading2"/>
      </w:pPr>
      <w:r>
        <w:t xml:space="preserve">7. Relação com o Núcleo Clínico</w:t>
      </w:r>
    </w:p>
    <w:p>
      <w:pPr>
        <w:pStyle w:val="FirstParagraph"/>
      </w:pPr>
      <w:r>
        <w:t xml:space="preserve">Durante o atendimento:</w:t>
      </w:r>
      <w:r>
        <w:t xml:space="preserve"> </w:t>
      </w:r>
      <w:r>
        <w:t xml:space="preserve">- os agentes atuam apenas como consultores</w:t>
      </w:r>
      <w:r>
        <w:t xml:space="preserve"> </w:t>
      </w:r>
      <w:r>
        <w:t xml:space="preserve">- leem prontuário, transcrição e contexto</w:t>
      </w:r>
      <w:r>
        <w:t xml:space="preserve"> </w:t>
      </w:r>
      <w:r>
        <w:t xml:space="preserve">- escrevem apenas na área</w:t>
      </w:r>
      <w:r>
        <w:t xml:space="preserve"> </w:t>
      </w:r>
      <w:r>
        <w:t xml:space="preserve">“Análise dos Agentes”</w:t>
      </w:r>
    </w:p>
    <w:p>
      <w:pPr>
        <w:pStyle w:val="BodyText"/>
      </w:pPr>
      <w:r>
        <w:t xml:space="preserve">O NAC</w:t>
      </w:r>
      <w:r>
        <w:t xml:space="preserve"> </w:t>
      </w:r>
      <w:r>
        <w:rPr>
          <w:b/>
          <w:bCs/>
        </w:rPr>
        <w:t xml:space="preserve">nunca escreve diretamente no prontuário clínico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potencial-futuro"/>
    <w:p>
      <w:pPr>
        <w:pStyle w:val="Heading2"/>
      </w:pPr>
      <w:r>
        <w:t xml:space="preserve">8. Potencial Futuro</w:t>
      </w:r>
    </w:p>
    <w:p>
      <w:pPr>
        <w:pStyle w:val="FirstParagraph"/>
      </w:pPr>
      <w:r>
        <w:t xml:space="preserve">A arquitetura do NAC permite, no futuro:</w:t>
      </w:r>
      <w:r>
        <w:t xml:space="preserve"> </w:t>
      </w:r>
      <w:r>
        <w:t xml:space="preserve">- simulação de voz dos agentes</w:t>
      </w:r>
      <w:r>
        <w:t xml:space="preserve"> </w:t>
      </w:r>
      <w:r>
        <w:t xml:space="preserve">- comparação entre agentes</w:t>
      </w:r>
      <w:r>
        <w:t xml:space="preserve"> </w:t>
      </w:r>
      <w:r>
        <w:t xml:space="preserve">- uso educacional e acadêmico</w:t>
      </w:r>
      <w:r>
        <w:t xml:space="preserve"> </w:t>
      </w:r>
      <w:r>
        <w:t xml:space="preserve">- pesquisa sobre estilos terapêuticos</w:t>
      </w:r>
    </w:p>
    <w:p>
      <w:pPr>
        <w:pStyle w:val="BodyText"/>
      </w:pPr>
      <w:r>
        <w:t xml:space="preserve">Essas extensões</w:t>
      </w:r>
      <w:r>
        <w:t xml:space="preserve"> </w:t>
      </w:r>
      <w:r>
        <w:rPr>
          <w:b/>
          <w:bCs/>
        </w:rPr>
        <w:t xml:space="preserve">não alteram</w:t>
      </w:r>
      <w:r>
        <w:t xml:space="preserve"> </w:t>
      </w:r>
      <w:r>
        <w:t xml:space="preserve">o núcleo ético definido aqui.</w:t>
      </w:r>
    </w:p>
    <w:p>
      <w:r>
        <w:pict>
          <v:rect style="width:0;height:1.5pt" o:hralign="center" o:hrstd="t" o:hr="t"/>
        </w:pict>
      </w:r>
    </w:p>
    <w:bookmarkEnd w:id="33"/>
    <w:bookmarkStart w:id="34" w:name="status-do-documento"/>
    <w:p>
      <w:pPr>
        <w:pStyle w:val="Heading2"/>
      </w:pPr>
      <w:r>
        <w:t xml:space="preserve">9. Status do Documento</w:t>
      </w:r>
    </w:p>
    <w:p>
      <w:pPr>
        <w:pStyle w:val="BlockText"/>
      </w:pPr>
      <w:r>
        <w:rPr>
          <w:b/>
          <w:bCs/>
        </w:rPr>
        <w:t xml:space="preserve">Esclarecimento:</w:t>
      </w:r>
      <w:r>
        <w:t xml:space="preserve"> </w:t>
      </w:r>
      <w:r>
        <w:t xml:space="preserve">A menção a</w:t>
      </w:r>
      <w:r>
        <w:t xml:space="preserve"> </w:t>
      </w:r>
      <w:r>
        <w:t xml:space="preserve">“tela preta”</w:t>
      </w:r>
      <w:r>
        <w:t xml:space="preserve"> </w:t>
      </w:r>
      <w:r>
        <w:t xml:space="preserve">refere-se</w:t>
      </w:r>
      <w:r>
        <w:t xml:space="preserve"> </w:t>
      </w:r>
      <w:r>
        <w:rPr>
          <w:b/>
          <w:bCs/>
        </w:rPr>
        <w:t xml:space="preserve">exclusivamente</w:t>
      </w:r>
      <w:r>
        <w:t xml:space="preserve"> </w:t>
      </w:r>
      <w:r>
        <w:t xml:space="preserve">ao Canvas de edição (ambiente de escrita).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implica decisão estética ou de UI para o Núcleo de Agentes Cognitivos.</w:t>
      </w:r>
    </w:p>
    <w:p>
      <w:pPr>
        <w:pStyle w:val="Compact"/>
        <w:numPr>
          <w:ilvl w:val="0"/>
          <w:numId w:val="1006"/>
        </w:numPr>
      </w:pPr>
      <w:r>
        <w:t xml:space="preserve">Documento conceitual congelado</w:t>
      </w:r>
    </w:p>
    <w:p>
      <w:pPr>
        <w:pStyle w:val="Compact"/>
        <w:numPr>
          <w:ilvl w:val="0"/>
          <w:numId w:val="1006"/>
        </w:numPr>
      </w:pPr>
      <w:r>
        <w:t xml:space="preserve">Base oficial do Núcleo de Agentes Cognitivos</w:t>
      </w:r>
    </w:p>
    <w:p>
      <w:pPr>
        <w:pStyle w:val="Compact"/>
        <w:numPr>
          <w:ilvl w:val="0"/>
          <w:numId w:val="1006"/>
        </w:numPr>
      </w:pPr>
      <w:r>
        <w:t xml:space="preserve">Deve ser usado como referência para UI, código e governança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2026-01-02T16:47:05Z</dcterms:created>
  <dcterms:modified xsi:type="dcterms:W3CDTF">2026-01-02T16:47:05Z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