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24cff58adf328bb8513bf9d6fb9079326c3a9e"/>
    <w:p>
      <w:pPr>
        <w:pStyle w:val="Heading1"/>
      </w:pPr>
      <w:r>
        <w:t xml:space="preserve">NeuroStrategy OS — Estratégia de Backup e Segurança (Windows)</w:t>
      </w:r>
    </w:p>
    <w:bookmarkStart w:id="20" w:name="finalidade-deste-documento"/>
    <w:p>
      <w:pPr>
        <w:pStyle w:val="Heading2"/>
      </w:pPr>
      <w:r>
        <w:t xml:space="preserve">1. Finalidade deste Documento</w:t>
      </w:r>
    </w:p>
    <w:p>
      <w:pPr>
        <w:pStyle w:val="FirstParagraph"/>
      </w:pPr>
      <w:r>
        <w:t xml:space="preserve">Este documento define a</w:t>
      </w:r>
      <w:r>
        <w:t xml:space="preserve"> </w:t>
      </w:r>
      <w:r>
        <w:rPr>
          <w:b/>
          <w:bCs/>
        </w:rPr>
        <w:t xml:space="preserve">estratégia oficial de backup, segurança e recuperação</w:t>
      </w:r>
      <w:r>
        <w:t xml:space="preserve"> </w:t>
      </w:r>
      <w:r>
        <w:t xml:space="preserve">do NeuroStrategy OS em ambiente</w:t>
      </w:r>
      <w:r>
        <w:t xml:space="preserve"> </w:t>
      </w:r>
      <w:r>
        <w:rPr>
          <w:b/>
          <w:bCs/>
        </w:rPr>
        <w:t xml:space="preserve">Windows Desktop</w:t>
      </w:r>
      <w:r>
        <w:t xml:space="preserve">.</w:t>
      </w:r>
    </w:p>
    <w:p>
      <w:pPr>
        <w:pStyle w:val="BodyText"/>
      </w:pPr>
      <w:r>
        <w:t xml:space="preserve">Ele existe para garantir:</w:t>
      </w:r>
      <w:r>
        <w:t xml:space="preserve"> </w:t>
      </w:r>
      <w:r>
        <w:t xml:space="preserve">- Continuidade clínica</w:t>
      </w:r>
      <w:r>
        <w:t xml:space="preserve"> </w:t>
      </w:r>
      <w:r>
        <w:t xml:space="preserve">- Proteção ética de dados sensíveis</w:t>
      </w:r>
      <w:r>
        <w:t xml:space="preserve"> </w:t>
      </w:r>
      <w:r>
        <w:t xml:space="preserve">- Recuperação previsível em caso de falha</w:t>
      </w:r>
      <w:r>
        <w:t xml:space="preserve"> </w:t>
      </w:r>
      <w:r>
        <w:t xml:space="preserve">- Redução de ansiedade operacional</w:t>
      </w:r>
    </w:p>
    <w:p>
      <w:pPr>
        <w:pStyle w:val="BodyText"/>
      </w:pPr>
      <w:r>
        <w:t xml:space="preserve">Este documento é</w:t>
      </w:r>
      <w:r>
        <w:t xml:space="preserve"> </w:t>
      </w:r>
      <w:r>
        <w:rPr>
          <w:b/>
          <w:bCs/>
        </w:rPr>
        <w:t xml:space="preserve">clínico-operacional</w:t>
      </w:r>
      <w:r>
        <w:t xml:space="preserve">, não técnico.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s-fundamentais"/>
    <w:p>
      <w:pPr>
        <w:pStyle w:val="Heading2"/>
      </w:pPr>
      <w:r>
        <w:t xml:space="preserve">2. Princípios Fundamentais</w:t>
      </w:r>
    </w:p>
    <w:p>
      <w:pPr>
        <w:pStyle w:val="FirstParagraph"/>
      </w:pPr>
      <w:r>
        <w:t xml:space="preserve">Antes de qualquer procedimento, é obrigatório compreender:</w:t>
      </w:r>
    </w:p>
    <w:p>
      <w:pPr>
        <w:pStyle w:val="Compact"/>
        <w:numPr>
          <w:ilvl w:val="0"/>
          <w:numId w:val="1001"/>
        </w:numPr>
      </w:pPr>
      <w:r>
        <w:t xml:space="preserve">Dados clínicos são</w:t>
      </w:r>
      <w:r>
        <w:t xml:space="preserve"> </w:t>
      </w:r>
      <w:r>
        <w:rPr>
          <w:b/>
          <w:bCs/>
        </w:rPr>
        <w:t xml:space="preserve">irrecuperáveis se perdidos</w:t>
      </w:r>
    </w:p>
    <w:p>
      <w:pPr>
        <w:pStyle w:val="Compact"/>
        <w:numPr>
          <w:ilvl w:val="0"/>
          <w:numId w:val="1001"/>
        </w:numPr>
      </w:pPr>
      <w:r>
        <w:t xml:space="preserve">Backup não é conveniência, é</w:t>
      </w:r>
      <w:r>
        <w:t xml:space="preserve"> </w:t>
      </w:r>
      <w:r>
        <w:rPr>
          <w:b/>
          <w:bCs/>
        </w:rPr>
        <w:t xml:space="preserve">ato ético</w:t>
      </w:r>
    </w:p>
    <w:p>
      <w:pPr>
        <w:pStyle w:val="Compact"/>
        <w:numPr>
          <w:ilvl w:val="0"/>
          <w:numId w:val="1001"/>
        </w:numPr>
      </w:pPr>
      <w:r>
        <w:t xml:space="preserve">Automação excessiva aumenta risco silencioso</w:t>
      </w:r>
    </w:p>
    <w:p>
      <w:pPr>
        <w:pStyle w:val="Compact"/>
        <w:numPr>
          <w:ilvl w:val="0"/>
          <w:numId w:val="1001"/>
        </w:numPr>
      </w:pPr>
      <w:r>
        <w:t xml:space="preserve">Simplicidade controlada é preferível a soluções complexas</w:t>
      </w:r>
    </w:p>
    <w:p>
      <w:pPr>
        <w:pStyle w:val="FirstParagraph"/>
      </w:pPr>
      <w:r>
        <w:t xml:space="preserve">A estratégia aqui definida privilegia</w:t>
      </w:r>
      <w:r>
        <w:t xml:space="preserve"> </w:t>
      </w:r>
      <w:r>
        <w:rPr>
          <w:b/>
          <w:bCs/>
        </w:rPr>
        <w:t xml:space="preserve">clareza, controle humano e previsibilidade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o-que-deve-ser-protegido"/>
    <w:p>
      <w:pPr>
        <w:pStyle w:val="Heading2"/>
      </w:pPr>
      <w:r>
        <w:t xml:space="preserve">3. O Que Deve Ser Protegido</w:t>
      </w:r>
    </w:p>
    <w:bookmarkStart w:id="22" w:name="componentes-críticos"/>
    <w:p>
      <w:pPr>
        <w:pStyle w:val="Heading3"/>
      </w:pPr>
      <w:r>
        <w:t xml:space="preserve">3.1 Componentes Críticos</w:t>
      </w:r>
    </w:p>
    <w:p>
      <w:pPr>
        <w:pStyle w:val="FirstParagraph"/>
      </w:pPr>
      <w:r>
        <w:t xml:space="preserve">Devem entrar em backup:</w:t>
      </w:r>
    </w:p>
    <w:p>
      <w:pPr>
        <w:pStyle w:val="Compact"/>
        <w:numPr>
          <w:ilvl w:val="0"/>
          <w:numId w:val="1002"/>
        </w:numPr>
      </w:pPr>
      <w:r>
        <w:t xml:space="preserve">Pasta de dados clínicos (prontuários, sessões, registros)</w:t>
      </w:r>
    </w:p>
    <w:p>
      <w:pPr>
        <w:pStyle w:val="Compact"/>
        <w:numPr>
          <w:ilvl w:val="0"/>
          <w:numId w:val="1002"/>
        </w:numPr>
      </w:pPr>
      <w:r>
        <w:t xml:space="preserve">Configurações locais do sistema</w:t>
      </w:r>
    </w:p>
    <w:p>
      <w:pPr>
        <w:pStyle w:val="Compact"/>
        <w:numPr>
          <w:ilvl w:val="0"/>
          <w:numId w:val="1002"/>
        </w:numPr>
      </w:pPr>
      <w:r>
        <w:t xml:space="preserve">Documentos do projeto (canvas exportado quando necessário)</w:t>
      </w:r>
    </w:p>
    <w:bookmarkEnd w:id="22"/>
    <w:bookmarkStart w:id="23" w:name="o-que-não-precisa-de-backup"/>
    <w:p>
      <w:pPr>
        <w:pStyle w:val="Heading3"/>
      </w:pPr>
      <w:r>
        <w:t xml:space="preserve">3.2 O Que NÃO Precisa de Backup</w:t>
      </w:r>
    </w:p>
    <w:p>
      <w:pPr>
        <w:pStyle w:val="Compact"/>
        <w:numPr>
          <w:ilvl w:val="0"/>
          <w:numId w:val="1003"/>
        </w:numPr>
      </w:pPr>
      <w:r>
        <w:t xml:space="preserve">UI Electron (pode ser regenerada)</w:t>
      </w:r>
    </w:p>
    <w:p>
      <w:pPr>
        <w:pStyle w:val="Compact"/>
        <w:numPr>
          <w:ilvl w:val="0"/>
          <w:numId w:val="1003"/>
        </w:numPr>
      </w:pPr>
      <w:r>
        <w:t xml:space="preserve">Node.js</w:t>
      </w:r>
    </w:p>
    <w:p>
      <w:pPr>
        <w:pStyle w:val="Compact"/>
        <w:numPr>
          <w:ilvl w:val="0"/>
          <w:numId w:val="1003"/>
        </w:numPr>
      </w:pPr>
      <w:r>
        <w:t xml:space="preserve">Dependências (</w:t>
      </w:r>
      <w:r>
        <w:rPr>
          <w:rStyle w:val="VerbatimChar"/>
        </w:rPr>
        <w:t xml:space="preserve">node_modules</w:t>
      </w:r>
      <w:r>
        <w:t xml:space="preserve">)</w:t>
      </w:r>
    </w:p>
    <w:p>
      <w:pPr>
        <w:pStyle w:val="FirstParagraph"/>
      </w:pPr>
      <w:r>
        <w:t xml:space="preserve">Somente</w:t>
      </w:r>
      <w:r>
        <w:t xml:space="preserve"> </w:t>
      </w:r>
      <w:r>
        <w:rPr>
          <w:b/>
          <w:bCs/>
        </w:rPr>
        <w:t xml:space="preserve">dados insubstituíveis</w:t>
      </w:r>
      <w:r>
        <w:t xml:space="preserve"> </w:t>
      </w:r>
      <w:r>
        <w:t xml:space="preserve">entram na estratégia.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strutura-recomendada-de-pastas-windows"/>
    <w:p>
      <w:pPr>
        <w:pStyle w:val="Heading2"/>
      </w:pPr>
      <w:r>
        <w:t xml:space="preserve">4. Estrutura Recomendada de Pastas (Windows)</w:t>
      </w:r>
    </w:p>
    <w:p>
      <w:pPr>
        <w:pStyle w:val="FirstParagraph"/>
      </w:pPr>
      <w:r>
        <w:t xml:space="preserve">Estrutura conceitual mínima: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HipnoLawrence_System/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CRÍTICO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IMPORTANTE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ui/</w:t>
      </w:r>
      <w:r>
        <w:t xml:space="preserve"> </w:t>
      </w:r>
      <w:r>
        <w:t xml:space="preserve">→ descartável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nucleos/</w:t>
      </w:r>
      <w:r>
        <w:t xml:space="preserve"> </w:t>
      </w:r>
      <w:r>
        <w:t xml:space="preserve">→ código-fonte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é o</w:t>
      </w:r>
      <w:r>
        <w:t xml:space="preserve"> </w:t>
      </w:r>
      <w:r>
        <w:rPr>
          <w:b/>
          <w:bCs/>
        </w:rPr>
        <w:t xml:space="preserve">coração do backup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8" w:name="X78700aeaa01610792e9f169c1cc331d1c2c602b"/>
    <w:p>
      <w:pPr>
        <w:pStyle w:val="Heading2"/>
      </w:pPr>
      <w:r>
        <w:t xml:space="preserve">5. Estratégia de Backup Primário (Manual Controlado)</w:t>
      </w:r>
    </w:p>
    <w:bookmarkStart w:id="26" w:name="frequência"/>
    <w:p>
      <w:pPr>
        <w:pStyle w:val="Heading3"/>
      </w:pPr>
      <w:r>
        <w:t xml:space="preserve">5.1 Frequência</w:t>
      </w:r>
    </w:p>
    <w:p>
      <w:pPr>
        <w:pStyle w:val="Compact"/>
        <w:numPr>
          <w:ilvl w:val="0"/>
          <w:numId w:val="1006"/>
        </w:numPr>
      </w:pPr>
      <w:r>
        <w:t xml:space="preserve">Backup</w:t>
      </w:r>
      <w:r>
        <w:t xml:space="preserve"> </w:t>
      </w:r>
      <w:r>
        <w:rPr>
          <w:b/>
          <w:bCs/>
        </w:rPr>
        <w:t xml:space="preserve">diário</w:t>
      </w:r>
      <w:r>
        <w:t xml:space="preserve"> </w:t>
      </w:r>
      <w:r>
        <w:t xml:space="preserve">em dias de atendimento</w:t>
      </w:r>
    </w:p>
    <w:p>
      <w:pPr>
        <w:pStyle w:val="Compact"/>
        <w:numPr>
          <w:ilvl w:val="0"/>
          <w:numId w:val="1006"/>
        </w:numPr>
      </w:pPr>
      <w:r>
        <w:t xml:space="preserve">Backup</w:t>
      </w:r>
      <w:r>
        <w:t xml:space="preserve"> </w:t>
      </w:r>
      <w:r>
        <w:rPr>
          <w:b/>
          <w:bCs/>
        </w:rPr>
        <w:t xml:space="preserve">semanal</w:t>
      </w:r>
      <w:r>
        <w:t xml:space="preserve"> </w:t>
      </w:r>
      <w:r>
        <w:t xml:space="preserve">em períodos sem atendimento</w:t>
      </w:r>
    </w:p>
    <w:bookmarkEnd w:id="26"/>
    <w:bookmarkStart w:id="27" w:name="método"/>
    <w:p>
      <w:pPr>
        <w:pStyle w:val="Heading3"/>
      </w:pPr>
      <w:r>
        <w:t xml:space="preserve">5.2 Método</w:t>
      </w:r>
    </w:p>
    <w:p>
      <w:pPr>
        <w:pStyle w:val="Compact"/>
        <w:numPr>
          <w:ilvl w:val="0"/>
          <w:numId w:val="1007"/>
        </w:numPr>
      </w:pPr>
      <w:r>
        <w:t xml:space="preserve">Fechar o NeuroStrategy OS</w:t>
      </w:r>
    </w:p>
    <w:p>
      <w:pPr>
        <w:pStyle w:val="Compact"/>
        <w:numPr>
          <w:ilvl w:val="0"/>
          <w:numId w:val="1007"/>
        </w:numPr>
      </w:pPr>
      <w:r>
        <w:t xml:space="preserve">Copiar a pasta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Compact"/>
        <w:numPr>
          <w:ilvl w:val="0"/>
          <w:numId w:val="1007"/>
        </w:numPr>
      </w:pPr>
      <w:r>
        <w:t xml:space="preserve">Colar em mídia externa dedicada (pendrive ou HD externo)</w:t>
      </w:r>
    </w:p>
    <w:p>
      <w:pPr>
        <w:pStyle w:val="FirstParagraph"/>
      </w:pPr>
      <w:r>
        <w:t xml:space="preserve">Nenhum backup deve ser feito com o sistema aberto.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fa4c795a08b5cdc21e1dd74397cdd18f24e1149"/>
    <w:p>
      <w:pPr>
        <w:pStyle w:val="Heading2"/>
      </w:pPr>
      <w:r>
        <w:t xml:space="preserve">6. Estratégia de Backup Secundário (Redundância)</w:t>
      </w:r>
    </w:p>
    <w:p>
      <w:pPr>
        <w:pStyle w:val="FirstParagraph"/>
      </w:pPr>
      <w:r>
        <w:t xml:space="preserve">Recomendação:</w:t>
      </w:r>
    </w:p>
    <w:p>
      <w:pPr>
        <w:pStyle w:val="Compact"/>
        <w:numPr>
          <w:ilvl w:val="0"/>
          <w:numId w:val="1008"/>
        </w:numPr>
      </w:pPr>
      <w:r>
        <w:t xml:space="preserve">Segunda mídia física diferente da primeira</w:t>
      </w:r>
    </w:p>
    <w:p>
      <w:pPr>
        <w:pStyle w:val="Compact"/>
        <w:numPr>
          <w:ilvl w:val="0"/>
          <w:numId w:val="1008"/>
        </w:numPr>
      </w:pPr>
      <w:r>
        <w:t xml:space="preserve">Backup menos frequente (ex: semanal)</w:t>
      </w:r>
    </w:p>
    <w:p>
      <w:pPr>
        <w:pStyle w:val="Compact"/>
        <w:numPr>
          <w:ilvl w:val="0"/>
          <w:numId w:val="1008"/>
        </w:numPr>
      </w:pPr>
      <w:r>
        <w:t xml:space="preserve">Guardada em local físico distinto</w:t>
      </w:r>
    </w:p>
    <w:p>
      <w:pPr>
        <w:pStyle w:val="FirstParagraph"/>
      </w:pPr>
      <w:r>
        <w:t xml:space="preserve">Isso protege contra:</w:t>
      </w:r>
      <w:r>
        <w:t xml:space="preserve"> </w:t>
      </w:r>
      <w:r>
        <w:t xml:space="preserve">- Falha de hardware</w:t>
      </w:r>
      <w:r>
        <w:t xml:space="preserve"> </w:t>
      </w:r>
      <w:r>
        <w:t xml:space="preserve">- Roubo</w:t>
      </w:r>
      <w:r>
        <w:t xml:space="preserve"> </w:t>
      </w:r>
      <w:r>
        <w:t xml:space="preserve">- Incêndio</w:t>
      </w:r>
    </w:p>
    <w:p>
      <w:r>
        <w:pict>
          <v:rect style="width:0;height:1.5pt" o:hralign="center" o:hrstd="t" o:hr="t"/>
        </w:pict>
      </w:r>
    </w:p>
    <w:bookmarkEnd w:id="29"/>
    <w:bookmarkStart w:id="30" w:name="nomeação-e-organização-dos-backups"/>
    <w:p>
      <w:pPr>
        <w:pStyle w:val="Heading2"/>
      </w:pPr>
      <w:r>
        <w:t xml:space="preserve">7. Nomeação e Organização dos Backups</w:t>
      </w:r>
    </w:p>
    <w:p>
      <w:pPr>
        <w:pStyle w:val="FirstParagraph"/>
      </w:pPr>
      <w:r>
        <w:t xml:space="preserve">Padrão recomendado:</w:t>
      </w:r>
    </w:p>
    <w:p>
      <w:pPr>
        <w:pStyle w:val="SourceCode"/>
      </w:pPr>
      <w:r>
        <w:rPr>
          <w:rStyle w:val="VerbatimChar"/>
        </w:rPr>
        <w:t xml:space="preserve">HipnoLawrence_Backup_YYYY-MM-DD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HipnoLawrence_Backup_2026-01-12</w:t>
      </w:r>
    </w:p>
    <w:p>
      <w:pPr>
        <w:pStyle w:val="FirstParagraph"/>
      </w:pPr>
      <w:r>
        <w:t xml:space="preserve">Nunca sobrescrever backups antigos.</w:t>
      </w:r>
    </w:p>
    <w:p>
      <w:r>
        <w:pict>
          <v:rect style="width:0;height:1.5pt" o:hralign="center" o:hrstd="t" o:hr="t"/>
        </w:pict>
      </w:r>
    </w:p>
    <w:bookmarkEnd w:id="30"/>
    <w:bookmarkStart w:id="31" w:name="teste-de-restauração-obrigatório"/>
    <w:p>
      <w:pPr>
        <w:pStyle w:val="Heading2"/>
      </w:pPr>
      <w:r>
        <w:t xml:space="preserve">8. Teste de Restauração (Obrigatório)</w:t>
      </w:r>
    </w:p>
    <w:p>
      <w:pPr>
        <w:pStyle w:val="FirstParagraph"/>
      </w:pPr>
      <w:r>
        <w:t xml:space="preserve">Ao menos</w:t>
      </w:r>
      <w:r>
        <w:t xml:space="preserve"> </w:t>
      </w:r>
      <w:r>
        <w:rPr>
          <w:b/>
          <w:bCs/>
        </w:rPr>
        <w:t xml:space="preserve">uma vez por trimestre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Copiar um backup antigo</w:t>
      </w:r>
    </w:p>
    <w:p>
      <w:pPr>
        <w:pStyle w:val="Compact"/>
        <w:numPr>
          <w:ilvl w:val="0"/>
          <w:numId w:val="1009"/>
        </w:numPr>
      </w:pPr>
      <w:r>
        <w:t xml:space="preserve">Restaurar em pasta separada</w:t>
      </w:r>
    </w:p>
    <w:p>
      <w:pPr>
        <w:pStyle w:val="Compact"/>
        <w:numPr>
          <w:ilvl w:val="0"/>
          <w:numId w:val="1009"/>
        </w:numPr>
      </w:pPr>
      <w:r>
        <w:t xml:space="preserve">Verificar integridade dos dados</w:t>
      </w:r>
    </w:p>
    <w:p>
      <w:pPr>
        <w:pStyle w:val="FirstParagraph"/>
      </w:pPr>
      <w:r>
        <w:t xml:space="preserve">Backup não testado</w:t>
      </w:r>
      <w:r>
        <w:t xml:space="preserve"> </w:t>
      </w:r>
      <w:r>
        <w:rPr>
          <w:b/>
          <w:bCs/>
        </w:rPr>
        <w:t xml:space="preserve">não é backup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4" w:name="segurança-no-windows"/>
    <w:p>
      <w:pPr>
        <w:pStyle w:val="Heading2"/>
      </w:pPr>
      <w:r>
        <w:t xml:space="preserve">9. Segurança no Windows</w:t>
      </w:r>
    </w:p>
    <w:bookmarkStart w:id="32" w:name="proteções-básicas"/>
    <w:p>
      <w:pPr>
        <w:pStyle w:val="Heading3"/>
      </w:pPr>
      <w:r>
        <w:t xml:space="preserve">9.1 Proteções Básicas</w:t>
      </w:r>
    </w:p>
    <w:p>
      <w:pPr>
        <w:pStyle w:val="Compact"/>
        <w:numPr>
          <w:ilvl w:val="0"/>
          <w:numId w:val="1010"/>
        </w:numPr>
      </w:pPr>
      <w:r>
        <w:t xml:space="preserve">Senha forte no Windows</w:t>
      </w:r>
    </w:p>
    <w:p>
      <w:pPr>
        <w:pStyle w:val="Compact"/>
        <w:numPr>
          <w:ilvl w:val="0"/>
          <w:numId w:val="1010"/>
        </w:numPr>
      </w:pPr>
      <w:r>
        <w:t xml:space="preserve">Criptografia de disco (BitLocker)</w:t>
      </w:r>
    </w:p>
    <w:p>
      <w:pPr>
        <w:pStyle w:val="Compact"/>
        <w:numPr>
          <w:ilvl w:val="0"/>
          <w:numId w:val="1010"/>
        </w:numPr>
      </w:pPr>
      <w:r>
        <w:t xml:space="preserve">Sessão do Windows bloqueada ao se ausentar</w:t>
      </w:r>
    </w:p>
    <w:bookmarkEnd w:id="32"/>
    <w:bookmarkStart w:id="33" w:name="condutas-recomendadas"/>
    <w:p>
      <w:pPr>
        <w:pStyle w:val="Heading3"/>
      </w:pPr>
      <w:r>
        <w:t xml:space="preserve">9.2 Condutas Recomendadas</w:t>
      </w:r>
    </w:p>
    <w:p>
      <w:pPr>
        <w:pStyle w:val="Compact"/>
        <w:numPr>
          <w:ilvl w:val="0"/>
          <w:numId w:val="1011"/>
        </w:numPr>
      </w:pPr>
      <w:r>
        <w:t xml:space="preserve">Não usar o sistema em computadores compartilhados</w:t>
      </w:r>
    </w:p>
    <w:p>
      <w:pPr>
        <w:pStyle w:val="Compact"/>
        <w:numPr>
          <w:ilvl w:val="0"/>
          <w:numId w:val="1011"/>
        </w:numPr>
      </w:pPr>
      <w:r>
        <w:t xml:space="preserve">Não sincronizar pasta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com serviços de nuvem genéricos</w:t>
      </w:r>
    </w:p>
    <w:p>
      <w:pPr>
        <w:pStyle w:val="Compact"/>
        <w:numPr>
          <w:ilvl w:val="0"/>
          <w:numId w:val="1011"/>
        </w:numPr>
      </w:pPr>
      <w:r>
        <w:t xml:space="preserve">Não acessar o sistema em redes públicas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duta-em-caso-de-falha"/>
    <w:p>
      <w:pPr>
        <w:pStyle w:val="Heading2"/>
      </w:pPr>
      <w:r>
        <w:t xml:space="preserve">10. Conduta em Caso de Falha</w:t>
      </w:r>
    </w:p>
    <w:p>
      <w:pPr>
        <w:pStyle w:val="FirstParagraph"/>
      </w:pPr>
      <w:r>
        <w:t xml:space="preserve">Se ocorrer falha grave:</w:t>
      </w:r>
    </w:p>
    <w:p>
      <w:pPr>
        <w:pStyle w:val="Compact"/>
        <w:numPr>
          <w:ilvl w:val="0"/>
          <w:numId w:val="1012"/>
        </w:numPr>
      </w:pPr>
      <w:r>
        <w:t xml:space="preserve">Interromper uso clínico</w:t>
      </w:r>
    </w:p>
    <w:p>
      <w:pPr>
        <w:pStyle w:val="Compact"/>
        <w:numPr>
          <w:ilvl w:val="0"/>
          <w:numId w:val="1012"/>
        </w:numPr>
      </w:pPr>
      <w:r>
        <w:t xml:space="preserve">Não tentar</w:t>
      </w:r>
      <w:r>
        <w:t xml:space="preserve"> </w:t>
      </w:r>
      <w:r>
        <w:t xml:space="preserve">“consertar”</w:t>
      </w:r>
      <w:r>
        <w:t xml:space="preserve"> </w:t>
      </w:r>
      <w:r>
        <w:t xml:space="preserve">dados</w:t>
      </w:r>
    </w:p>
    <w:p>
      <w:pPr>
        <w:pStyle w:val="Compact"/>
        <w:numPr>
          <w:ilvl w:val="0"/>
          <w:numId w:val="1012"/>
        </w:numPr>
      </w:pPr>
      <w:r>
        <w:t xml:space="preserve">Restaurar último backup íntegro</w:t>
      </w:r>
    </w:p>
    <w:p>
      <w:pPr>
        <w:pStyle w:val="Compact"/>
        <w:numPr>
          <w:ilvl w:val="0"/>
          <w:numId w:val="1012"/>
        </w:numPr>
      </w:pPr>
      <w:r>
        <w:t xml:space="preserve">Retomar uso somente após verificação</w:t>
      </w:r>
    </w:p>
    <w:p>
      <w:pPr>
        <w:pStyle w:val="FirstParagraph"/>
      </w:pPr>
      <w:r>
        <w:t xml:space="preserve">Nunca improvisar recuperação durante atendimento.</w:t>
      </w:r>
    </w:p>
    <w:p>
      <w:r>
        <w:pict>
          <v:rect style="width:0;height:1.5pt" o:hralign="center" o:hrstd="t" o:hr="t"/>
        </w:pict>
      </w:r>
    </w:p>
    <w:bookmarkEnd w:id="35"/>
    <w:bookmarkStart w:id="36" w:name="revisão-periódica"/>
    <w:p>
      <w:pPr>
        <w:pStyle w:val="Heading2"/>
      </w:pPr>
      <w:r>
        <w:t xml:space="preserve">11. Revisão Periódica</w:t>
      </w:r>
    </w:p>
    <w:p>
      <w:pPr>
        <w:pStyle w:val="FirstParagraph"/>
      </w:pPr>
      <w:r>
        <w:t xml:space="preserve">Esta estratégia deve ser revisada:</w:t>
      </w:r>
      <w:r>
        <w:t xml:space="preserve"> </w:t>
      </w:r>
      <w:r>
        <w:t xml:space="preserve">- Anualmente</w:t>
      </w:r>
      <w:r>
        <w:t xml:space="preserve"> </w:t>
      </w:r>
      <w:r>
        <w:t xml:space="preserve">- Ou após qualquer incidente relevante</w:t>
      </w:r>
    </w:p>
    <w:p>
      <w:pPr>
        <w:pStyle w:val="BodyText"/>
      </w:pPr>
      <w:r>
        <w:t xml:space="preserve">Mudanças só devem ocorrer de forma consciente e documentada.</w:t>
      </w:r>
    </w:p>
    <w:p>
      <w:r>
        <w:pict>
          <v:rect style="width:0;height:1.5pt" o:hralign="center" o:hrstd="t" o:hr="t"/>
        </w:pict>
      </w:r>
    </w:p>
    <w:bookmarkEnd w:id="36"/>
    <w:bookmarkStart w:id="37" w:name="princípio-final"/>
    <w:p>
      <w:pPr>
        <w:pStyle w:val="Heading2"/>
      </w:pPr>
      <w:r>
        <w:t xml:space="preserve">12. Princípio Final</w:t>
      </w:r>
    </w:p>
    <w:p>
      <w:pPr>
        <w:pStyle w:val="FirstParagraph"/>
      </w:pPr>
      <w:r>
        <w:t xml:space="preserve">Um sistema clínico é confiável quando,</w:t>
      </w:r>
      <w:r>
        <w:t xml:space="preserve"> </w:t>
      </w:r>
      <w:r>
        <w:rPr>
          <w:b/>
          <w:bCs/>
        </w:rPr>
        <w:t xml:space="preserve">mesmo falhando</w:t>
      </w:r>
      <w:r>
        <w:t xml:space="preserve">, ele falha de forma previsível.</w:t>
      </w:r>
    </w:p>
    <w:p>
      <w:pPr>
        <w:pStyle w:val="BodyText"/>
      </w:pPr>
      <w:r>
        <w:t xml:space="preserve">Backup e segurança não servem para evitar erros — servem para</w:t>
      </w:r>
      <w:r>
        <w:t xml:space="preserve"> </w:t>
      </w:r>
      <w:r>
        <w:rPr>
          <w:b/>
          <w:bCs/>
        </w:rPr>
        <w:t xml:space="preserve">tornar o erro recuperável sem dano clínico</w:t>
      </w:r>
      <w: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2026-01-02T10:23:42Z</dcterms:created>
  <dcterms:modified xsi:type="dcterms:W3CDTF">2026-01-02T10:23:42Z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