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84b8b08dbcf6bd2ec8b22a6c7adf76b8e19177b"/>
    <w:p>
      <w:pPr>
        <w:pStyle w:val="Heading1"/>
      </w:pPr>
      <w:r>
        <w:t xml:space="preserve">Documento Mestre — NeuroStrategy OS (HipnoLawrence)</w:t>
      </w:r>
    </w:p>
    <w:bookmarkStart w:id="20" w:name="histórico-e-estado-do-desenvolvimento"/>
    <w:p>
      <w:pPr>
        <w:pStyle w:val="Heading2"/>
      </w:pPr>
      <w:r>
        <w:t xml:space="preserve">Histórico e Estado do Desenvolvimento</w:t>
      </w:r>
    </w:p>
    <w:p>
      <w:r>
        <w:pict>
          <v:rect style="width:0;height:1.5pt" o:hralign="center" o:hrstd="t" o:hr="t"/>
        </w:pict>
      </w:r>
    </w:p>
    <w:bookmarkEnd w:id="20"/>
    <w:bookmarkStart w:id="24" w:name="contexto-e-fundamentos-do-projeto"/>
    <w:p>
      <w:pPr>
        <w:pStyle w:val="Heading2"/>
      </w:pPr>
      <w:r>
        <w:t xml:space="preserve">1. Contexto e Fundamentos do Projeto</w:t>
      </w:r>
    </w:p>
    <w:bookmarkStart w:id="21" w:name="identidade-e-propósito-do-sistema"/>
    <w:p>
      <w:pPr>
        <w:pStyle w:val="Heading3"/>
      </w:pPr>
      <w:r>
        <w:t xml:space="preserve">1.1 Identidade e Propósito do Sistema</w:t>
      </w:r>
    </w:p>
    <w:p>
      <w:pPr>
        <w:pStyle w:val="FirstParagraph"/>
      </w:pPr>
      <w:r>
        <w:t xml:space="preserve">O NeuroStrategy OS (HipnoLawrence) é um sistema clínico desktop para Windows, projetado para apoiar o trabalho real de um psicólogo clínico em consultório. Seu propósito central é atuar como exocórtex clínico, ampliando a capacidade de registro, análise, memória e raciocínio do terapeuta sem substituir decisão humana.</w:t>
      </w:r>
    </w:p>
    <w:p>
      <w:pPr>
        <w:pStyle w:val="BodyText"/>
      </w:pPr>
      <w:r>
        <w:t xml:space="preserve">O sistema não é um software genérico de prontuário, nem uma plataforma de automação clínica. Ele existe para proteger o vínculo terapêutico, reduzir carga cognitiva e estruturar pensamento clínico com rigor ético.</w:t>
      </w:r>
    </w:p>
    <w:bookmarkEnd w:id="21"/>
    <w:bookmarkStart w:id="22" w:name="filosofia-de-desenvolvimento-adotada"/>
    <w:p>
      <w:pPr>
        <w:pStyle w:val="Heading3"/>
      </w:pPr>
      <w:r>
        <w:t xml:space="preserve">1.2 Filosofia de Desenvolvimento Adotada</w:t>
      </w:r>
    </w:p>
    <w:p>
      <w:pPr>
        <w:pStyle w:val="FirstParagraph"/>
      </w:pPr>
      <w:r>
        <w:t xml:space="preserve">A filosofia do projeto parte de três premissas explícitas:</w:t>
      </w:r>
    </w:p>
    <w:p>
      <w:pPr>
        <w:numPr>
          <w:ilvl w:val="0"/>
          <w:numId w:val="1001"/>
        </w:numPr>
        <w:pStyle w:val="Compact"/>
      </w:pPr>
      <w:r>
        <w:t xml:space="preserve">Segurança clínica &gt; velocidade de desenvolvimento</w:t>
      </w:r>
    </w:p>
    <w:p>
      <w:pPr>
        <w:numPr>
          <w:ilvl w:val="0"/>
          <w:numId w:val="1001"/>
        </w:numPr>
        <w:pStyle w:val="Compact"/>
      </w:pPr>
      <w:r>
        <w:t xml:space="preserve">Controle cognitivo &gt; sofisticação técnica</w:t>
      </w:r>
    </w:p>
    <w:p>
      <w:pPr>
        <w:numPr>
          <w:ilvl w:val="0"/>
          <w:numId w:val="1001"/>
        </w:numPr>
        <w:pStyle w:val="Compact"/>
      </w:pPr>
      <w:r>
        <w:t xml:space="preserve">Previsibilidade &gt; otimização prematura</w:t>
      </w:r>
    </w:p>
    <w:p>
      <w:pPr>
        <w:pStyle w:val="FirstParagraph"/>
      </w:pPr>
      <w:r>
        <w:t xml:space="preserve">O projeto assume deliberadamente que o autor não é programador, e por isso adota uma estratégia que reduz risco humano:</w:t>
      </w:r>
    </w:p>
    <w:p>
      <w:pPr>
        <w:numPr>
          <w:ilvl w:val="0"/>
          <w:numId w:val="1002"/>
        </w:numPr>
        <w:pStyle w:val="Compact"/>
      </w:pPr>
      <w:r>
        <w:t xml:space="preserve">Decisões congeladas</w:t>
      </w:r>
    </w:p>
    <w:p>
      <w:pPr>
        <w:numPr>
          <w:ilvl w:val="0"/>
          <w:numId w:val="1002"/>
        </w:numPr>
        <w:pStyle w:val="Compact"/>
      </w:pPr>
      <w:r>
        <w:t xml:space="preserve">Ausência de microajustes</w:t>
      </w:r>
    </w:p>
    <w:p>
      <w:pPr>
        <w:numPr>
          <w:ilvl w:val="0"/>
          <w:numId w:val="1002"/>
        </w:numPr>
        <w:pStyle w:val="Compact"/>
      </w:pPr>
      <w:r>
        <w:t xml:space="preserve">Substituição integral de blocos</w:t>
      </w:r>
    </w:p>
    <w:p>
      <w:pPr>
        <w:numPr>
          <w:ilvl w:val="0"/>
          <w:numId w:val="1002"/>
        </w:numPr>
        <w:pStyle w:val="Compact"/>
      </w:pPr>
      <w:r>
        <w:t xml:space="preserve">Separação rígida entre núcleo e interface</w:t>
      </w:r>
    </w:p>
    <w:p>
      <w:pPr>
        <w:pStyle w:val="FirstParagraph"/>
      </w:pPr>
      <w:r>
        <w:t xml:space="preserve">O sistema é construído para durar anos, não para parecer pronto rapidamente.</w:t>
      </w:r>
    </w:p>
    <w:bookmarkEnd w:id="22"/>
    <w:bookmarkStart w:id="23" w:name="estrutura-organizacional-do-projeto"/>
    <w:p>
      <w:pPr>
        <w:pStyle w:val="Heading3"/>
      </w:pPr>
      <w:r>
        <w:t xml:space="preserve">1.3 Estrutura Organizacional do Projeto</w:t>
      </w:r>
    </w:p>
    <w:p>
      <w:pPr>
        <w:pStyle w:val="FirstParagraph"/>
      </w:pPr>
      <w:r>
        <w:t xml:space="preserve">O NeuroStrategy OS é organizado em núcleos funcionais independentes, cada um com escopo, limites e governança próprios:</w:t>
      </w:r>
    </w:p>
    <w:p>
      <w:pPr>
        <w:numPr>
          <w:ilvl w:val="0"/>
          <w:numId w:val="1003"/>
        </w:numPr>
        <w:pStyle w:val="Compact"/>
      </w:pPr>
      <w:r>
        <w:t xml:space="preserve">Núcleo Clínico (soberano)</w:t>
      </w:r>
    </w:p>
    <w:p>
      <w:pPr>
        <w:numPr>
          <w:ilvl w:val="0"/>
          <w:numId w:val="1003"/>
        </w:numPr>
        <w:pStyle w:val="Compact"/>
      </w:pPr>
      <w:r>
        <w:t xml:space="preserve">Núcleo Diagnóstico e Redação</w:t>
      </w:r>
    </w:p>
    <w:p>
      <w:pPr>
        <w:numPr>
          <w:ilvl w:val="0"/>
          <w:numId w:val="1003"/>
        </w:numPr>
        <w:pStyle w:val="Compact"/>
      </w:pPr>
      <w:r>
        <w:t xml:space="preserve">Núcleo de Agentes Cognitivos (NAC)</w:t>
      </w:r>
    </w:p>
    <w:p>
      <w:pPr>
        <w:numPr>
          <w:ilvl w:val="0"/>
          <w:numId w:val="1003"/>
        </w:numPr>
        <w:pStyle w:val="Compact"/>
      </w:pPr>
      <w:r>
        <w:t xml:space="preserve">Núcleos Administrativos, Marketing, Follow-up e Pesquisa</w:t>
      </w:r>
    </w:p>
    <w:p>
      <w:pPr>
        <w:numPr>
          <w:ilvl w:val="0"/>
          <w:numId w:val="1003"/>
        </w:numPr>
        <w:pStyle w:val="Compact"/>
      </w:pPr>
      <w:r>
        <w:t xml:space="preserve">UI (camada ergonômica)</w:t>
      </w:r>
    </w:p>
    <w:p>
      <w:pPr>
        <w:numPr>
          <w:ilvl w:val="0"/>
          <w:numId w:val="1003"/>
        </w:numPr>
        <w:pStyle w:val="Compact"/>
      </w:pPr>
      <w:r>
        <w:t xml:space="preserve">CLI técnica (ferramenta técnica interna, nunca utilizada em contexto clínico)</w:t>
      </w:r>
    </w:p>
    <w:p>
      <w:pPr>
        <w:pStyle w:val="FirstParagraph"/>
      </w:pPr>
      <w:r>
        <w:t xml:space="preserve">Essa separação impede contaminação de responsabilidades e protege o núcleo clínico de decisões erradas na UI ou na IA.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arquitetura-e-componentes-do-sistema"/>
    <w:p>
      <w:pPr>
        <w:pStyle w:val="Heading2"/>
      </w:pPr>
      <w:r>
        <w:t xml:space="preserve">2. Arquitetura e Componentes do Sistema</w:t>
      </w:r>
    </w:p>
    <w:bookmarkStart w:id="25" w:name="o-núcleo-clínico"/>
    <w:p>
      <w:pPr>
        <w:pStyle w:val="Heading3"/>
      </w:pPr>
      <w:r>
        <w:t xml:space="preserve">2.1 O Núcleo Clínico</w:t>
      </w:r>
    </w:p>
    <w:p>
      <w:pPr>
        <w:pStyle w:val="FirstParagraph"/>
      </w:pPr>
      <w:r>
        <w:t xml:space="preserve">É o coração do sistema e a autoridade máxima. O núcleo clínico conceitual está definido, com estrutura de pacotes iniciais estabelecida.</w:t>
      </w:r>
    </w:p>
    <w:p>
      <w:pPr>
        <w:numPr>
          <w:ilvl w:val="0"/>
          <w:numId w:val="1004"/>
        </w:numPr>
        <w:pStyle w:val="Compact"/>
      </w:pPr>
      <w:r>
        <w:t xml:space="preserve">Atendimento em tempo real</w:t>
      </w:r>
    </w:p>
    <w:p>
      <w:pPr>
        <w:numPr>
          <w:ilvl w:val="0"/>
          <w:numId w:val="1004"/>
        </w:numPr>
        <w:pStyle w:val="Compact"/>
      </w:pPr>
      <w:r>
        <w:t xml:space="preserve">Evolução clínica (memória viva)</w:t>
      </w:r>
    </w:p>
    <w:p>
      <w:pPr>
        <w:numPr>
          <w:ilvl w:val="0"/>
          <w:numId w:val="1004"/>
        </w:numPr>
        <w:pStyle w:val="Compact"/>
      </w:pPr>
      <w:r>
        <w:t xml:space="preserve">Transcrição integral das sessões</w:t>
      </w:r>
    </w:p>
    <w:p>
      <w:pPr>
        <w:numPr>
          <w:ilvl w:val="0"/>
          <w:numId w:val="1004"/>
        </w:numPr>
        <w:pStyle w:val="Compact"/>
      </w:pPr>
      <w:r>
        <w:t xml:space="preserve">Registro longitudinal do caso</w:t>
      </w:r>
    </w:p>
    <w:p>
      <w:pPr>
        <w:numPr>
          <w:ilvl w:val="0"/>
          <w:numId w:val="1004"/>
        </w:numPr>
        <w:pStyle w:val="Compact"/>
      </w:pPr>
      <w:r>
        <w:t xml:space="preserve">Geração de material para análise posterior</w:t>
      </w:r>
    </w:p>
    <w:p>
      <w:pPr>
        <w:pStyle w:val="FirstParagraph"/>
      </w:pPr>
      <w:r>
        <w:t xml:space="preserve">O núcleo clínico é soberano e independente da UI. Ele não aceita lógica externa e evolui apenas por novos blocos congelados.</w:t>
      </w:r>
    </w:p>
    <w:bookmarkEnd w:id="25"/>
    <w:bookmarkStart w:id="26" w:name="o-núcleo-de-agentes-cognitivos-nac"/>
    <w:p>
      <w:pPr>
        <w:pStyle w:val="Heading3"/>
      </w:pPr>
      <w:r>
        <w:t xml:space="preserve">2.2 O Núcleo de Agentes Cognitivos (NAC)</w:t>
      </w:r>
    </w:p>
    <w:p>
      <w:pPr>
        <w:pStyle w:val="FirstParagraph"/>
      </w:pPr>
      <w:r>
        <w:t xml:space="preserve">O NAC é um núcleo estrutural e cognitivo, não clínico. Ele existe para treinar, versionar e governar agentes de IA, que atuam apenas como consultores.</w:t>
      </w:r>
    </w:p>
    <w:p>
      <w:pPr>
        <w:pStyle w:val="BodyText"/>
      </w:pPr>
      <w:r>
        <w:t xml:space="preserve">Características centrais:</w:t>
      </w:r>
    </w:p>
    <w:p>
      <w:pPr>
        <w:numPr>
          <w:ilvl w:val="0"/>
          <w:numId w:val="1005"/>
        </w:numPr>
        <w:pStyle w:val="Compact"/>
      </w:pPr>
      <w:r>
        <w:t xml:space="preserve">Nunca atua durante sessão clínica</w:t>
      </w:r>
    </w:p>
    <w:p>
      <w:pPr>
        <w:numPr>
          <w:ilvl w:val="0"/>
          <w:numId w:val="1005"/>
        </w:numPr>
        <w:pStyle w:val="Compact"/>
      </w:pPr>
      <w:r>
        <w:t xml:space="preserve">Nunca escreve em prontuário</w:t>
      </w:r>
    </w:p>
    <w:p>
      <w:pPr>
        <w:numPr>
          <w:ilvl w:val="0"/>
          <w:numId w:val="1005"/>
        </w:numPr>
        <w:pStyle w:val="Compact"/>
      </w:pPr>
      <w:r>
        <w:t xml:space="preserve">Nunca decide ou intervém</w:t>
      </w:r>
    </w:p>
    <w:p>
      <w:pPr>
        <w:numPr>
          <w:ilvl w:val="0"/>
          <w:numId w:val="1005"/>
        </w:numPr>
        <w:pStyle w:val="Compact"/>
      </w:pPr>
      <w:r>
        <w:t xml:space="preserve">Todo treinamento é manual, rastreável e versionado</w:t>
      </w:r>
    </w:p>
    <w:p>
      <w:pPr>
        <w:numPr>
          <w:ilvl w:val="0"/>
          <w:numId w:val="1005"/>
        </w:numPr>
        <w:pStyle w:val="Compact"/>
      </w:pPr>
      <w:r>
        <w:t xml:space="preserve">Simulações não persistem</w:t>
      </w:r>
    </w:p>
    <w:p>
      <w:pPr>
        <w:pStyle w:val="FirstParagraph"/>
      </w:pPr>
      <w:r>
        <w:t xml:space="preserve">Os agentes deixam de ser</w:t>
      </w:r>
      <w:r>
        <w:t xml:space="preserve"> </w:t>
      </w:r>
      <w:r>
        <w:t xml:space="preserve">“</w:t>
      </w:r>
      <w:r>
        <w:t xml:space="preserve">abordagens</w:t>
      </w:r>
      <w:r>
        <w:t xml:space="preserve">”</w:t>
      </w:r>
      <w:r>
        <w:t xml:space="preserve"> </w:t>
      </w:r>
      <w:r>
        <w:t xml:space="preserve">e passam a ser personificações cognitivas com identidade própria (ex.: Erickson, Zeig, PNL).</w:t>
      </w:r>
    </w:p>
    <w:bookmarkEnd w:id="26"/>
    <w:bookmarkStart w:id="27" w:name="a-interface-de-usuário-electron"/>
    <w:p>
      <w:pPr>
        <w:pStyle w:val="Heading3"/>
      </w:pPr>
      <w:r>
        <w:t xml:space="preserve">2.3 A Interface de Usuário Electron</w:t>
      </w:r>
    </w:p>
    <w:p>
      <w:pPr>
        <w:pStyle w:val="FirstParagraph"/>
      </w:pPr>
      <w:r>
        <w:t xml:space="preserve">A UI é uma camada descartável, 100% visual, construída em Electron para Windows. A estrutura exploratória foi validada como base, sujeita a consolidação em UI v1.0. Detalhes como sidebar fixa são decisões de UI, não contrato arquitetural.</w:t>
      </w:r>
    </w:p>
    <w:p>
      <w:pPr>
        <w:pStyle w:val="BodyText"/>
      </w:pPr>
      <w:r>
        <w:t xml:space="preserve">Princípios:</w:t>
      </w:r>
    </w:p>
    <w:p>
      <w:pPr>
        <w:numPr>
          <w:ilvl w:val="0"/>
          <w:numId w:val="1006"/>
        </w:numPr>
        <w:pStyle w:val="Compact"/>
      </w:pPr>
      <w:r>
        <w:t xml:space="preserve">Estilo Microsoft Office / prontuário clínico</w:t>
      </w:r>
    </w:p>
    <w:p>
      <w:pPr>
        <w:numPr>
          <w:ilvl w:val="0"/>
          <w:numId w:val="1006"/>
        </w:numPr>
        <w:pStyle w:val="Compact"/>
      </w:pPr>
      <w:r>
        <w:t xml:space="preserve">Editor de texto como protagonista</w:t>
      </w:r>
    </w:p>
    <w:p>
      <w:pPr>
        <w:numPr>
          <w:ilvl w:val="0"/>
          <w:numId w:val="1006"/>
        </w:numPr>
        <w:pStyle w:val="Compact"/>
      </w:pPr>
      <w:r>
        <w:t xml:space="preserve">Poucas opções por tela</w:t>
      </w:r>
    </w:p>
    <w:p>
      <w:pPr>
        <w:numPr>
          <w:ilvl w:val="0"/>
          <w:numId w:val="1006"/>
        </w:numPr>
        <w:pStyle w:val="Compact"/>
      </w:pPr>
      <w:r>
        <w:t xml:space="preserve">Nenhuma lógica clínica</w:t>
      </w:r>
    </w:p>
    <w:p>
      <w:pPr>
        <w:numPr>
          <w:ilvl w:val="0"/>
          <w:numId w:val="1006"/>
        </w:numPr>
        <w:pStyle w:val="Compact"/>
      </w:pPr>
      <w:r>
        <w:t xml:space="preserve">Nenhuma decisão</w:t>
      </w:r>
    </w:p>
    <w:p>
      <w:pPr>
        <w:pStyle w:val="FirstParagraph"/>
      </w:pPr>
      <w:r>
        <w:t xml:space="preserve">A UI apenas observa estado e emite eventos explícitos. Ela pode ser substituída integralmente sem impacto no núcleo.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d3469a5916ca1862a9324a6f31517e8fdd74a6a"/>
    <w:p>
      <w:pPr>
        <w:pStyle w:val="Heading2"/>
      </w:pPr>
      <w:r>
        <w:t xml:space="preserve">3. Metodologia de Trabalho e Estratégia de Desenvolvimento</w:t>
      </w:r>
    </w:p>
    <w:bookmarkStart w:id="29" w:name="o-modelo-de-blocos-fechados"/>
    <w:p>
      <w:pPr>
        <w:pStyle w:val="Heading3"/>
      </w:pPr>
      <w:r>
        <w:t xml:space="preserve">3.1 O Modelo de Blocos Fechados</w:t>
      </w:r>
    </w:p>
    <w:p>
      <w:pPr>
        <w:pStyle w:val="FirstParagraph"/>
      </w:pPr>
      <w:r>
        <w:t xml:space="preserve">O projeto é desenvolvido por blocos fechados:</w:t>
      </w:r>
    </w:p>
    <w:p>
      <w:pPr>
        <w:numPr>
          <w:ilvl w:val="0"/>
          <w:numId w:val="1007"/>
        </w:numPr>
        <w:pStyle w:val="Compact"/>
      </w:pPr>
      <w:r>
        <w:t xml:space="preserve">Escopo único</w:t>
      </w:r>
    </w:p>
    <w:p>
      <w:pPr>
        <w:numPr>
          <w:ilvl w:val="0"/>
          <w:numId w:val="1007"/>
        </w:numPr>
        <w:pStyle w:val="Compact"/>
      </w:pPr>
      <w:r>
        <w:t xml:space="preserve">Objetivo claro</w:t>
      </w:r>
    </w:p>
    <w:p>
      <w:pPr>
        <w:numPr>
          <w:ilvl w:val="0"/>
          <w:numId w:val="1007"/>
        </w:numPr>
        <w:pStyle w:val="Compact"/>
      </w:pPr>
      <w:r>
        <w:t xml:space="preserve">Validação explícita</w:t>
      </w:r>
    </w:p>
    <w:p>
      <w:pPr>
        <w:numPr>
          <w:ilvl w:val="0"/>
          <w:numId w:val="1007"/>
        </w:numPr>
        <w:pStyle w:val="Compact"/>
      </w:pPr>
      <w:r>
        <w:t xml:space="preserve">Congelamento após conclusão</w:t>
      </w:r>
    </w:p>
    <w:p>
      <w:pPr>
        <w:pStyle w:val="FirstParagraph"/>
      </w:pPr>
      <w:r>
        <w:t xml:space="preserve">Blocos não são reabertos para ajustes incrementais. Se algo muda, cria-se um novo bloco.</w:t>
      </w:r>
    </w:p>
    <w:bookmarkEnd w:id="29"/>
    <w:bookmarkStart w:id="30" w:name="a-regra-de-substituição-total"/>
    <w:p>
      <w:pPr>
        <w:pStyle w:val="Heading3"/>
      </w:pPr>
      <w:r>
        <w:t xml:space="preserve">3.2 A Regra de Substituição Total</w:t>
      </w:r>
    </w:p>
    <w:p>
      <w:pPr>
        <w:pStyle w:val="FirstParagraph"/>
      </w:pPr>
      <w:r>
        <w:t xml:space="preserve">É proibido editar parcialmente código ou documentos.</w:t>
      </w:r>
    </w:p>
    <w:p>
      <w:pPr>
        <w:pStyle w:val="BodyText"/>
      </w:pPr>
      <w:r>
        <w:t xml:space="preserve">Qualquer mudança ocorre por:</w:t>
      </w:r>
    </w:p>
    <w:p>
      <w:pPr>
        <w:numPr>
          <w:ilvl w:val="0"/>
          <w:numId w:val="1008"/>
        </w:numPr>
        <w:pStyle w:val="Compact"/>
      </w:pPr>
      <w:r>
        <w:t xml:space="preserve">Substituição integral de arquivo, pasta ou ZIP</w:t>
      </w:r>
    </w:p>
    <w:p>
      <w:pPr>
        <w:numPr>
          <w:ilvl w:val="0"/>
          <w:numId w:val="1008"/>
        </w:numPr>
        <w:pStyle w:val="Compact"/>
      </w:pPr>
      <w:r>
        <w:t xml:space="preserve">Nunca por microajuste</w:t>
      </w:r>
    </w:p>
    <w:p>
      <w:pPr>
        <w:pStyle w:val="FirstParagraph"/>
      </w:pPr>
      <w:r>
        <w:t xml:space="preserve">Essa regra elimina erros cumulativos, confusão cognitiva e inconsistência estrutural.</w:t>
      </w:r>
    </w:p>
    <w:bookmarkEnd w:id="30"/>
    <w:bookmarkStart w:id="31" w:name="a-política-de-persistência-de-dados"/>
    <w:p>
      <w:pPr>
        <w:pStyle w:val="Heading3"/>
      </w:pPr>
      <w:r>
        <w:t xml:space="preserve">3.3 A Política de Persistência de Dados</w:t>
      </w:r>
    </w:p>
    <w:p>
      <w:pPr>
        <w:pStyle w:val="FirstParagraph"/>
      </w:pPr>
      <w:r>
        <w:t xml:space="preserve">O sistema distingue dois tipos de persistência: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Persistência clínica</w:t>
      </w:r>
      <w:r>
        <w:t xml:space="preserve">: exige validação humana explícita (prontuário, evolução, registro oficial)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Persistência técnica mínima</w:t>
      </w:r>
      <w:r>
        <w:t xml:space="preserve">: pode ocorrer automaticamente, sem conteúdo clínico (estrutura de sessão, índices, arquivos operacionais, metadados não clínicos)</w:t>
      </w:r>
    </w:p>
    <w:p>
      <w:pPr>
        <w:pStyle w:val="FirstParagraph"/>
      </w:pPr>
      <w:r>
        <w:t xml:space="preserve">Persistir dados clínicos é sempre um ato consciente.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contratos-e-governança-do-sistema"/>
    <w:p>
      <w:pPr>
        <w:pStyle w:val="Heading2"/>
      </w:pPr>
      <w:r>
        <w:t xml:space="preserve">4. Contratos e Governança do Sistema</w:t>
      </w:r>
    </w:p>
    <w:bookmarkStart w:id="33" w:name="o-contrato-clínico-fundamental"/>
    <w:p>
      <w:pPr>
        <w:pStyle w:val="Heading3"/>
      </w:pPr>
      <w:r>
        <w:t xml:space="preserve">4.1 O Contrato Clínico Fundamental</w:t>
      </w:r>
    </w:p>
    <w:p>
      <w:pPr>
        <w:pStyle w:val="FirstParagraph"/>
      </w:pPr>
      <w:r>
        <w:t xml:space="preserve">O contrato clínico define que:</w:t>
      </w:r>
    </w:p>
    <w:p>
      <w:pPr>
        <w:numPr>
          <w:ilvl w:val="0"/>
          <w:numId w:val="1010"/>
        </w:numPr>
        <w:pStyle w:val="Compact"/>
      </w:pPr>
      <w:r>
        <w:t xml:space="preserve">O psicólogo é a autoridade final</w:t>
      </w:r>
    </w:p>
    <w:p>
      <w:pPr>
        <w:numPr>
          <w:ilvl w:val="0"/>
          <w:numId w:val="1010"/>
        </w:numPr>
        <w:pStyle w:val="Compact"/>
      </w:pPr>
      <w:r>
        <w:t xml:space="preserve">A IA propõe, nunca decide</w:t>
      </w:r>
    </w:p>
    <w:p>
      <w:pPr>
        <w:numPr>
          <w:ilvl w:val="0"/>
          <w:numId w:val="1010"/>
        </w:numPr>
        <w:pStyle w:val="Compact"/>
      </w:pPr>
      <w:r>
        <w:t xml:space="preserve">O prontuário é soberano</w:t>
      </w:r>
    </w:p>
    <w:p>
      <w:pPr>
        <w:numPr>
          <w:ilvl w:val="0"/>
          <w:numId w:val="1010"/>
        </w:numPr>
        <w:pStyle w:val="Compact"/>
      </w:pPr>
      <w:r>
        <w:t xml:space="preserve">O sistema não substitui julgamento clínico</w:t>
      </w:r>
    </w:p>
    <w:p>
      <w:pPr>
        <w:pStyle w:val="FirstParagraph"/>
      </w:pPr>
      <w:r>
        <w:t xml:space="preserve">Esse contrato é estrutural, não apenas ético.</w:t>
      </w:r>
    </w:p>
    <w:bookmarkEnd w:id="33"/>
    <w:bookmarkStart w:id="34" w:name="definição-de-papéis-e-autoridade"/>
    <w:p>
      <w:pPr>
        <w:pStyle w:val="Heading3"/>
      </w:pPr>
      <w:r>
        <w:t xml:space="preserve">4.2 Definição de Papéis e Autoridade</w:t>
      </w:r>
    </w:p>
    <w:p>
      <w:pPr>
        <w:pStyle w:val="FirstParagraph"/>
      </w:pPr>
      <w:r>
        <w:t xml:space="preserve">Papéis claros:</w:t>
      </w:r>
    </w:p>
    <w:p>
      <w:pPr>
        <w:numPr>
          <w:ilvl w:val="0"/>
          <w:numId w:val="1011"/>
        </w:numPr>
        <w:pStyle w:val="Compact"/>
      </w:pPr>
      <w:r>
        <w:t xml:space="preserve">Humano: decisão, validação, condução clínica</w:t>
      </w:r>
    </w:p>
    <w:p>
      <w:pPr>
        <w:numPr>
          <w:ilvl w:val="0"/>
          <w:numId w:val="1011"/>
        </w:numPr>
        <w:pStyle w:val="Compact"/>
      </w:pPr>
      <w:r>
        <w:t xml:space="preserve">IA: apoio cognitivo, organização, refutação</w:t>
      </w:r>
    </w:p>
    <w:p>
      <w:pPr>
        <w:numPr>
          <w:ilvl w:val="0"/>
          <w:numId w:val="1011"/>
        </w:numPr>
        <w:pStyle w:val="Compact"/>
      </w:pPr>
      <w:r>
        <w:t xml:space="preserve">UI: emissão de eventos</w:t>
      </w:r>
    </w:p>
    <w:p>
      <w:pPr>
        <w:numPr>
          <w:ilvl w:val="0"/>
          <w:numId w:val="1011"/>
        </w:numPr>
        <w:pStyle w:val="Compact"/>
      </w:pPr>
      <w:r>
        <w:t xml:space="preserve">Núcleo: execução de regras</w:t>
      </w:r>
    </w:p>
    <w:p>
      <w:pPr>
        <w:pStyle w:val="FirstParagraph"/>
      </w:pPr>
      <w:r>
        <w:t xml:space="preserve">Não há ambiguidade de autoridade em nenhum ponto.</w:t>
      </w:r>
    </w:p>
    <w:bookmarkEnd w:id="34"/>
    <w:bookmarkStart w:id="35" w:name="limites-da-ia-durante-atendimento"/>
    <w:p>
      <w:pPr>
        <w:pStyle w:val="Heading3"/>
      </w:pPr>
      <w:r>
        <w:t xml:space="preserve">4.3 Limites da IA Durante Atendimento</w:t>
      </w:r>
    </w:p>
    <w:p>
      <w:pPr>
        <w:pStyle w:val="FirstParagraph"/>
      </w:pPr>
      <w:r>
        <w:t xml:space="preserve">Durante sessão ativa:</w:t>
      </w:r>
    </w:p>
    <w:p>
      <w:pPr>
        <w:numPr>
          <w:ilvl w:val="0"/>
          <w:numId w:val="1012"/>
        </w:numPr>
        <w:pStyle w:val="Compact"/>
      </w:pPr>
      <w:r>
        <w:t xml:space="preserve">IA pode transcrever</w:t>
      </w:r>
    </w:p>
    <w:p>
      <w:pPr>
        <w:numPr>
          <w:ilvl w:val="0"/>
          <w:numId w:val="1012"/>
        </w:numPr>
        <w:pStyle w:val="Compact"/>
      </w:pPr>
      <w:r>
        <w:t xml:space="preserve">IA pode organizar</w:t>
      </w:r>
    </w:p>
    <w:p>
      <w:pPr>
        <w:numPr>
          <w:ilvl w:val="0"/>
          <w:numId w:val="1012"/>
        </w:numPr>
        <w:pStyle w:val="Compact"/>
      </w:pPr>
      <w:r>
        <w:t xml:space="preserve">IA pode ser consultada sob demanda</w:t>
      </w:r>
    </w:p>
    <w:p>
      <w:pPr>
        <w:pStyle w:val="FirstParagraph"/>
      </w:pPr>
      <w:r>
        <w:t xml:space="preserve">Mas:</w:t>
      </w:r>
    </w:p>
    <w:p>
      <w:pPr>
        <w:numPr>
          <w:ilvl w:val="0"/>
          <w:numId w:val="1013"/>
        </w:numPr>
        <w:pStyle w:val="Compact"/>
      </w:pPr>
      <w:r>
        <w:t xml:space="preserve">Não propõe hipóteses automáticas em crise</w:t>
      </w:r>
    </w:p>
    <w:p>
      <w:pPr>
        <w:numPr>
          <w:ilvl w:val="0"/>
          <w:numId w:val="1013"/>
        </w:numPr>
        <w:pStyle w:val="Compact"/>
      </w:pPr>
      <w:r>
        <w:t xml:space="preserve">Não escreve prontuário final</w:t>
      </w:r>
    </w:p>
    <w:p>
      <w:pPr>
        <w:numPr>
          <w:ilvl w:val="0"/>
          <w:numId w:val="1013"/>
        </w:numPr>
        <w:pStyle w:val="Compact"/>
      </w:pPr>
      <w:r>
        <w:t xml:space="preserve">Não conduz intervenção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estado-atual-do-desenvolvimento"/>
    <w:p>
      <w:pPr>
        <w:pStyle w:val="Heading2"/>
      </w:pPr>
      <w:r>
        <w:t xml:space="preserve">5. Estado Atual do Desenvolvimento</w:t>
      </w:r>
    </w:p>
    <w:bookmarkStart w:id="37" w:name="módulos-concluídos-e-congelados"/>
    <w:p>
      <w:pPr>
        <w:pStyle w:val="Heading3"/>
      </w:pPr>
      <w:r>
        <w:t xml:space="preserve">5.1 Módulos Concluídos e Congelados</w:t>
      </w:r>
    </w:p>
    <w:p>
      <w:pPr>
        <w:pStyle w:val="FirstParagraph"/>
      </w:pPr>
      <w:r>
        <w:t xml:space="preserve">Atualmente estão fechados e congelados:</w:t>
      </w:r>
    </w:p>
    <w:p>
      <w:pPr>
        <w:numPr>
          <w:ilvl w:val="0"/>
          <w:numId w:val="1014"/>
        </w:numPr>
        <w:pStyle w:val="Compact"/>
      </w:pPr>
      <w:r>
        <w:t xml:space="preserve">Núcleo Clínico (pacotes iniciais)</w:t>
      </w:r>
    </w:p>
    <w:p>
      <w:pPr>
        <w:numPr>
          <w:ilvl w:val="0"/>
          <w:numId w:val="1014"/>
        </w:numPr>
        <w:pStyle w:val="Compact"/>
      </w:pPr>
      <w:r>
        <w:t xml:space="preserve">CLI Persistente (ferramenta técnica interna, fora do uso clínico)</w:t>
      </w:r>
    </w:p>
    <w:p>
      <w:pPr>
        <w:numPr>
          <w:ilvl w:val="0"/>
          <w:numId w:val="1014"/>
        </w:numPr>
        <w:pStyle w:val="Compact"/>
      </w:pPr>
      <w:r>
        <w:t xml:space="preserve">Arquitetura geral dos núcleos</w:t>
      </w:r>
    </w:p>
    <w:p>
      <w:pPr>
        <w:numPr>
          <w:ilvl w:val="0"/>
          <w:numId w:val="1014"/>
        </w:numPr>
        <w:pStyle w:val="Compact"/>
      </w:pPr>
      <w:r>
        <w:t xml:space="preserve">Documento-Mestre do NAC</w:t>
      </w:r>
    </w:p>
    <w:p>
      <w:pPr>
        <w:numPr>
          <w:ilvl w:val="0"/>
          <w:numId w:val="1014"/>
        </w:numPr>
        <w:pStyle w:val="Compact"/>
      </w:pPr>
      <w:r>
        <w:t xml:space="preserve">Definição conceitual da UI clínica</w:t>
      </w:r>
    </w:p>
    <w:bookmarkEnd w:id="37"/>
    <w:bookmarkStart w:id="38" w:name="eventos-clínicos-definidos"/>
    <w:p>
      <w:pPr>
        <w:pStyle w:val="Heading3"/>
      </w:pPr>
      <w:r>
        <w:t xml:space="preserve">5.2 Eventos Clínicos Definidos</w:t>
      </w:r>
    </w:p>
    <w:p>
      <w:pPr>
        <w:pStyle w:val="FirstParagraph"/>
      </w:pPr>
      <w:r>
        <w:t xml:space="preserve">O catálogo de eventos clínicos está definido conceitualmente, com escopo e comportamento estabelecidos:</w:t>
      </w:r>
    </w:p>
    <w:p>
      <w:pPr>
        <w:numPr>
          <w:ilvl w:val="0"/>
          <w:numId w:val="1015"/>
        </w:numPr>
        <w:pStyle w:val="Compact"/>
      </w:pPr>
      <w:r>
        <w:t xml:space="preserve">Início de atendimento</w:t>
      </w:r>
    </w:p>
    <w:p>
      <w:pPr>
        <w:numPr>
          <w:ilvl w:val="0"/>
          <w:numId w:val="1015"/>
        </w:numPr>
        <w:pStyle w:val="Compact"/>
      </w:pPr>
      <w:r>
        <w:t xml:space="preserve">Registro em tempo real</w:t>
      </w:r>
    </w:p>
    <w:p>
      <w:pPr>
        <w:numPr>
          <w:ilvl w:val="0"/>
          <w:numId w:val="1015"/>
        </w:numPr>
        <w:pStyle w:val="Compact"/>
      </w:pPr>
      <w:r>
        <w:t xml:space="preserve">Encerramento de sessão</w:t>
      </w:r>
    </w:p>
    <w:p>
      <w:pPr>
        <w:numPr>
          <w:ilvl w:val="0"/>
          <w:numId w:val="1015"/>
        </w:numPr>
        <w:pStyle w:val="Compact"/>
      </w:pPr>
      <w:r>
        <w:t xml:space="preserve">Persistência de dados clínicos</w:t>
      </w:r>
    </w:p>
    <w:p>
      <w:pPr>
        <w:numPr>
          <w:ilvl w:val="0"/>
          <w:numId w:val="1015"/>
        </w:numPr>
        <w:pStyle w:val="Compact"/>
      </w:pPr>
      <w:r>
        <w:t xml:space="preserve">Geração de material para análise</w:t>
      </w:r>
    </w:p>
    <w:bookmarkEnd w:id="38"/>
    <w:bookmarkStart w:id="39" w:name="blocos-em-andamento-e-próximos-passos"/>
    <w:p>
      <w:pPr>
        <w:pStyle w:val="Heading3"/>
      </w:pPr>
      <w:r>
        <w:t xml:space="preserve">5.3 Blocos em Andamento e Próximos Passos</w:t>
      </w:r>
    </w:p>
    <w:p>
      <w:pPr>
        <w:pStyle w:val="FirstParagraph"/>
      </w:pPr>
      <w:r>
        <w:t xml:space="preserve">Bloco atual em foco:</w:t>
      </w:r>
    </w:p>
    <w:p>
      <w:pPr>
        <w:numPr>
          <w:ilvl w:val="0"/>
          <w:numId w:val="1016"/>
        </w:numPr>
        <w:pStyle w:val="Compact"/>
      </w:pPr>
      <w:r>
        <w:t xml:space="preserve">Consolidação UI v1.0</w:t>
      </w:r>
    </w:p>
    <w:p>
      <w:pPr>
        <w:numPr>
          <w:ilvl w:val="0"/>
          <w:numId w:val="1016"/>
        </w:numPr>
        <w:pStyle w:val="Compact"/>
      </w:pPr>
      <w:r>
        <w:t xml:space="preserve">UI exploratória servindo como base para consolidação</w:t>
      </w:r>
    </w:p>
    <w:p>
      <w:pPr>
        <w:numPr>
          <w:ilvl w:val="0"/>
          <w:numId w:val="1016"/>
        </w:numPr>
        <w:pStyle w:val="Compact"/>
      </w:pPr>
      <w:r>
        <w:t xml:space="preserve">Implementação incremental conforme Documento-Mestre</w:t>
      </w:r>
    </w:p>
    <w:p>
      <w:pPr>
        <w:pStyle w:val="FirstParagraph"/>
      </w:pPr>
      <w:r>
        <w:t xml:space="preserve">O foco está exclusivamente na consolidação da UI. Nada novo será introduzido enquanto esta fase não for concluída.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princípios-éticos-e-de-segurança"/>
    <w:p>
      <w:pPr>
        <w:pStyle w:val="Heading2"/>
      </w:pPr>
      <w:r>
        <w:t xml:space="preserve">6. Princípios Éticos e de Segurança</w:t>
      </w:r>
    </w:p>
    <w:bookmarkStart w:id="41" w:name="protocolo-de-risco-r0r2"/>
    <w:p>
      <w:pPr>
        <w:pStyle w:val="Heading3"/>
      </w:pPr>
      <w:r>
        <w:t xml:space="preserve">6.1 Protocolo de Risco R0–R2</w:t>
      </w:r>
    </w:p>
    <w:p>
      <w:pPr>
        <w:pStyle w:val="FirstParagraph"/>
      </w:pPr>
      <w:r>
        <w:t xml:space="preserve">Em situações de risco (ideação, violência):</w:t>
      </w:r>
    </w:p>
    <w:p>
      <w:pPr>
        <w:numPr>
          <w:ilvl w:val="0"/>
          <w:numId w:val="1017"/>
        </w:numPr>
        <w:pStyle w:val="Compact"/>
      </w:pPr>
      <w:r>
        <w:t xml:space="preserve">IA silencia</w:t>
      </w:r>
    </w:p>
    <w:p>
      <w:pPr>
        <w:numPr>
          <w:ilvl w:val="0"/>
          <w:numId w:val="1017"/>
        </w:numPr>
        <w:pStyle w:val="Compact"/>
      </w:pPr>
      <w:r>
        <w:t xml:space="preserve">Não sugere hipóteses</w:t>
      </w:r>
    </w:p>
    <w:p>
      <w:pPr>
        <w:numPr>
          <w:ilvl w:val="0"/>
          <w:numId w:val="1017"/>
        </w:numPr>
        <w:pStyle w:val="Compact"/>
      </w:pPr>
      <w:r>
        <w:t xml:space="preserve">Não gera escrita</w:t>
      </w:r>
    </w:p>
    <w:p>
      <w:pPr>
        <w:numPr>
          <w:ilvl w:val="0"/>
          <w:numId w:val="1017"/>
        </w:numPr>
        <w:pStyle w:val="Compact"/>
      </w:pPr>
      <w:r>
        <w:t xml:space="preserve">Prioriza ética clínica</w:t>
      </w:r>
    </w:p>
    <w:bookmarkEnd w:id="41"/>
    <w:bookmarkStart w:id="42" w:name="guardrails-estruturais"/>
    <w:p>
      <w:pPr>
        <w:pStyle w:val="Heading3"/>
      </w:pPr>
      <w:r>
        <w:t xml:space="preserve">6.2 Guardrails Estruturais</w:t>
      </w:r>
    </w:p>
    <w:p>
      <w:pPr>
        <w:pStyle w:val="FirstParagraph"/>
      </w:pPr>
      <w:r>
        <w:t xml:space="preserve">O sistema possui guards explícitos:</w:t>
      </w:r>
    </w:p>
    <w:p>
      <w:pPr>
        <w:numPr>
          <w:ilvl w:val="0"/>
          <w:numId w:val="1018"/>
        </w:numPr>
        <w:pStyle w:val="Compact"/>
      </w:pPr>
      <w:r>
        <w:t xml:space="preserve">Guard de estado</w:t>
      </w:r>
    </w:p>
    <w:p>
      <w:pPr>
        <w:numPr>
          <w:ilvl w:val="0"/>
          <w:numId w:val="1018"/>
        </w:numPr>
        <w:pStyle w:val="Compact"/>
      </w:pPr>
      <w:r>
        <w:t xml:space="preserve">Guard de sessão clínica</w:t>
      </w:r>
    </w:p>
    <w:p>
      <w:pPr>
        <w:numPr>
          <w:ilvl w:val="0"/>
          <w:numId w:val="1018"/>
        </w:numPr>
        <w:pStyle w:val="Compact"/>
      </w:pPr>
      <w:r>
        <w:t xml:space="preserve">Guard de persistência</w:t>
      </w:r>
    </w:p>
    <w:p>
      <w:pPr>
        <w:numPr>
          <w:ilvl w:val="0"/>
          <w:numId w:val="1018"/>
        </w:numPr>
        <w:pStyle w:val="Compact"/>
      </w:pPr>
      <w:r>
        <w:t xml:space="preserve">Guard de linguagem</w:t>
      </w:r>
    </w:p>
    <w:p>
      <w:pPr>
        <w:numPr>
          <w:ilvl w:val="0"/>
          <w:numId w:val="1018"/>
        </w:numPr>
        <w:pStyle w:val="Compact"/>
      </w:pPr>
      <w:r>
        <w:t xml:space="preserve">Guard de versão</w:t>
      </w:r>
    </w:p>
    <w:p>
      <w:pPr>
        <w:numPr>
          <w:ilvl w:val="0"/>
          <w:numId w:val="1018"/>
        </w:numPr>
        <w:pStyle w:val="Compact"/>
      </w:pPr>
      <w:r>
        <w:t xml:space="preserve">Guard de auditoria</w:t>
      </w:r>
    </w:p>
    <w:p>
      <w:pPr>
        <w:pStyle w:val="FirstParagraph"/>
      </w:pPr>
      <w:r>
        <w:t xml:space="preserve">Guards bloqueiam, nunca decidem.</w:t>
      </w:r>
    </w:p>
    <w:bookmarkEnd w:id="42"/>
    <w:bookmarkStart w:id="43" w:name="auditoria-e-governança"/>
    <w:p>
      <w:pPr>
        <w:pStyle w:val="Heading3"/>
      </w:pPr>
      <w:r>
        <w:t xml:space="preserve">6.3 Auditoria e Governança</w:t>
      </w:r>
    </w:p>
    <w:p>
      <w:pPr>
        <w:pStyle w:val="FirstParagraph"/>
      </w:pPr>
      <w:r>
        <w:t xml:space="preserve">Tudo é rastreável:</w:t>
      </w:r>
    </w:p>
    <w:p>
      <w:pPr>
        <w:numPr>
          <w:ilvl w:val="0"/>
          <w:numId w:val="1019"/>
        </w:numPr>
        <w:pStyle w:val="Compact"/>
      </w:pPr>
      <w:r>
        <w:t xml:space="preserve">Versões</w:t>
      </w:r>
    </w:p>
    <w:p>
      <w:pPr>
        <w:numPr>
          <w:ilvl w:val="0"/>
          <w:numId w:val="1019"/>
        </w:numPr>
        <w:pStyle w:val="Compact"/>
      </w:pPr>
      <w:r>
        <w:t xml:space="preserve">Treinamentos</w:t>
      </w:r>
    </w:p>
    <w:p>
      <w:pPr>
        <w:numPr>
          <w:ilvl w:val="0"/>
          <w:numId w:val="1019"/>
        </w:numPr>
        <w:pStyle w:val="Compact"/>
      </w:pPr>
      <w:r>
        <w:t xml:space="preserve">Alterações</w:t>
      </w:r>
    </w:p>
    <w:p>
      <w:pPr>
        <w:numPr>
          <w:ilvl w:val="0"/>
          <w:numId w:val="1019"/>
        </w:numPr>
        <w:pStyle w:val="Compact"/>
      </w:pPr>
      <w:r>
        <w:t xml:space="preserve">Rollbacks</w:t>
      </w:r>
    </w:p>
    <w:p>
      <w:pPr>
        <w:pStyle w:val="FirstParagraph"/>
      </w:pPr>
      <w:r>
        <w:t xml:space="preserve">Nada é sobrescrito. Auditoria é somente leitura.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conclusão-e-perspectivas-futuras"/>
    <w:p>
      <w:pPr>
        <w:pStyle w:val="Heading2"/>
      </w:pPr>
      <w:r>
        <w:t xml:space="preserve">7. Conclusão e Perspectivas Futuras</w:t>
      </w:r>
    </w:p>
    <w:bookmarkStart w:id="45" w:name="síntese-do-progresso-alcançado"/>
    <w:p>
      <w:pPr>
        <w:pStyle w:val="Heading3"/>
      </w:pPr>
      <w:r>
        <w:t xml:space="preserve">7.1 Síntese do Progresso Alcançado</w:t>
      </w:r>
    </w:p>
    <w:p>
      <w:pPr>
        <w:pStyle w:val="FirstParagraph"/>
      </w:pPr>
      <w:r>
        <w:t xml:space="preserve">O NeuroStrategy OS atingiu um ponto de maturidade estrutural:</w:t>
      </w:r>
    </w:p>
    <w:p>
      <w:pPr>
        <w:numPr>
          <w:ilvl w:val="0"/>
          <w:numId w:val="1020"/>
        </w:numPr>
        <w:pStyle w:val="Compact"/>
      </w:pPr>
      <w:r>
        <w:t xml:space="preserve">Arquitetura clara</w:t>
      </w:r>
    </w:p>
    <w:p>
      <w:pPr>
        <w:numPr>
          <w:ilvl w:val="0"/>
          <w:numId w:val="1020"/>
        </w:numPr>
        <w:pStyle w:val="Compact"/>
      </w:pPr>
      <w:r>
        <w:t xml:space="preserve">Limites definidos</w:t>
      </w:r>
    </w:p>
    <w:p>
      <w:pPr>
        <w:numPr>
          <w:ilvl w:val="0"/>
          <w:numId w:val="1020"/>
        </w:numPr>
        <w:pStyle w:val="Compact"/>
      </w:pPr>
      <w:r>
        <w:t xml:space="preserve">Decisões de governança congeladas</w:t>
      </w:r>
    </w:p>
    <w:p>
      <w:pPr>
        <w:numPr>
          <w:ilvl w:val="0"/>
          <w:numId w:val="1020"/>
        </w:numPr>
        <w:pStyle w:val="Compact"/>
      </w:pPr>
      <w:r>
        <w:t xml:space="preserve">Risco clínico mitigado por design</w:t>
      </w:r>
    </w:p>
    <w:p>
      <w:pPr>
        <w:numPr>
          <w:ilvl w:val="0"/>
          <w:numId w:val="1020"/>
        </w:numPr>
        <w:pStyle w:val="Compact"/>
      </w:pPr>
      <w:r>
        <w:t xml:space="preserve">Estratégia adequada ao perfil do autor</w:t>
      </w:r>
    </w:p>
    <w:p>
      <w:pPr>
        <w:pStyle w:val="FirstParagraph"/>
      </w:pPr>
      <w:r>
        <w:t xml:space="preserve">O sistema tem identidade definida e escopo delimitado.</w:t>
      </w:r>
    </w:p>
    <w:p>
      <w:pPr>
        <w:pStyle w:val="BodyText"/>
      </w:pPr>
      <w:r>
        <w:t xml:space="preserve">Os próximos passos são executivos, focados em implementação:</w:t>
      </w:r>
    </w:p>
    <w:p>
      <w:pPr>
        <w:numPr>
          <w:ilvl w:val="0"/>
          <w:numId w:val="1021"/>
        </w:numPr>
        <w:pStyle w:val="Compact"/>
      </w:pPr>
      <w:r>
        <w:t xml:space="preserve">Consolidar UI v1.0</w:t>
      </w:r>
    </w:p>
    <w:p>
      <w:pPr>
        <w:numPr>
          <w:ilvl w:val="0"/>
          <w:numId w:val="1021"/>
        </w:numPr>
        <w:pStyle w:val="Compact"/>
      </w:pPr>
      <w:r>
        <w:t xml:space="preserve">Implementar telas conforme Documento-Mestre</w:t>
      </w:r>
    </w:p>
    <w:p>
      <w:pPr>
        <w:numPr>
          <w:ilvl w:val="0"/>
          <w:numId w:val="1021"/>
        </w:numPr>
        <w:pStyle w:val="Compact"/>
      </w:pPr>
      <w:r>
        <w:t xml:space="preserve">O papel conceitual da IA está definido; execução local será definida após UI v1.0</w:t>
      </w:r>
    </w:p>
    <w:p>
      <w:pPr>
        <w:numPr>
          <w:ilvl w:val="0"/>
          <w:numId w:val="1021"/>
        </w:numPr>
        <w:pStyle w:val="Compact"/>
      </w:pPr>
      <w:r>
        <w:t xml:space="preserve">Manter núcleo intocado</w:t>
      </w:r>
    </w:p>
    <w:p>
      <w:pPr>
        <w:numPr>
          <w:ilvl w:val="0"/>
          <w:numId w:val="1021"/>
        </w:numPr>
        <w:pStyle w:val="Compact"/>
      </w:pPr>
      <w:r>
        <w:t xml:space="preserve">Evoluir apenas por novos blocos</w:t>
      </w:r>
    </w:p>
    <w:p>
      <w:pPr>
        <w:pStyle w:val="FirstParagraph"/>
      </w:pPr>
      <w:r>
        <w:t xml:space="preserve">O projeto segue em crescimento controlado, sem abrir novos escopos conceituais.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Criado em</w:t>
      </w:r>
      <w:r>
        <w:t xml:space="preserve">: Janeiro de 2026</w:t>
      </w:r>
      <w:r>
        <w:br/>
      </w:r>
      <w:r>
        <w:rPr>
          <w:bCs/>
          <w:b/>
        </w:rPr>
        <w:t xml:space="preserve">Autor</w:t>
      </w:r>
      <w:r>
        <w:t xml:space="preserve">: NeuroStrategy OS — Análise de Desenvolvimento</w:t>
      </w:r>
      <w:r>
        <w:br/>
      </w:r>
      <w:r>
        <w:rPr>
          <w:bCs/>
          <w:b/>
        </w:rPr>
        <w:t xml:space="preserve">Versão</w:t>
      </w:r>
      <w:r>
        <w:t xml:space="preserve">: 1.0.0</w:t>
      </w:r>
      <w:r>
        <w:br/>
      </w:r>
      <w:r>
        <w:rPr>
          <w:bCs/>
          <w:b/>
        </w:rPr>
        <w:t xml:space="preserve">Status</w:t>
      </w:r>
      <w:r>
        <w:t xml:space="preserve">: Documento Mestre — Alinhado com Consolidação Oficial</w:t>
      </w:r>
    </w:p>
    <w:bookmarkEnd w:id="45"/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2026-01-03T15:54:56Z</dcterms:created>
  <dcterms:modified xsi:type="dcterms:W3CDTF">2026-01-03T15:54:56Z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