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200"/>
      </w:pPr>
      <w:r>
        <w:rPr>
          <w:rFonts w:ascii="Georgia" w:cs="Georgia" w:eastAsia="Georgia" w:hAnsi="Georgia"/>
          <w:b/>
          <w:bCs/>
          <w:caps/>
          <w:color w:val="026E81"/>
          <w:sz w:val="18"/>
          <w:szCs w:val="18"/>
        </w:rPr>
        <w:t xml:space="preserve">FUTURA EVIDENCE LAB · INSTITUTO AR / MÉDICOS PELO CLIMA</w:t>
      </w:r>
    </w:p>
    <w:p>
      <w:pPr>
        <w:spacing w:after="100"/>
      </w:pPr>
      <w:r>
        <w:rPr>
          <w:rFonts w:ascii="Georgia" w:cs="Georgia" w:eastAsia="Georgia" w:hAnsi="Georgia"/>
          <w:b/>
          <w:bCs/>
          <w:color w:val="8f75f2"/>
          <w:sz w:val="18"/>
          <w:szCs w:val="18"/>
        </w:rPr>
        <w:t xml:space="preserve">METODOLOGIA COMPLETA</w:t>
      </w:r>
    </w:p>
    <w:p>
      <w:pPr>
        <w:spacing w:after="260"/>
      </w:pPr>
      <w:r>
        <w:rPr>
          <w:rFonts w:ascii="Georgia" w:cs="Georgia" w:eastAsia="Georgia" w:hAnsi="Georgia"/>
          <w:b/>
          <w:bCs/>
          <w:color w:val="026E81"/>
          <w:sz w:val="54"/>
          <w:szCs w:val="54"/>
        </w:rPr>
        <w:t xml:space="preserve">Clima e saúde nos</w:t>
      </w:r>
      <w:r>
        <w:rPr>
          <w:rFonts w:ascii="Georgia" w:cs="Georgia" w:eastAsia="Georgia" w:hAnsi="Georgia"/>
          <w:b/>
          <w:bCs/>
          <w:color w:val="026E81"/>
          <w:sz w:val="54"/>
          <w:szCs w:val="54"/>
        </w:rPr>
        <w:br/>
        <w:t xml:space="preserve">planos de governo</w:t>
      </w:r>
      <w:r>
        <w:rPr>
          <w:rFonts w:ascii="Georgia" w:cs="Georgia" w:eastAsia="Georgia" w:hAnsi="Georgia"/>
          <w:b/>
          <w:bCs/>
          <w:color w:val="026E81"/>
          <w:sz w:val="54"/>
          <w:szCs w:val="54"/>
        </w:rPr>
        <w:br/>
        <w:t xml:space="preserve">Eleições 2026</w:t>
      </w:r>
    </w:p>
    <w:p>
      <w:pPr>
        <w:spacing w:after="2000"/>
      </w:pPr>
      <w:r>
        <w:rPr>
          <w:rFonts w:ascii="Calibri" w:cs="Calibri" w:eastAsia="Calibri" w:hAnsi="Calibri"/>
          <w:color w:val="1E1A1B"/>
          <w:sz w:val="27"/>
          <w:szCs w:val="27"/>
        </w:rPr>
        <w:t xml:space="preserve">Desenho, fundamentação, procedimentos, resultados e limites do registro de menções a clima, poluição do ar e saúde em 34 planos de governo registrados no TSE.</w:t>
      </w:r>
    </w:p>
    <w:p>
      <w:pPr>
        <w:spacing w:after="40"/>
      </w:pPr>
      <w:r>
        <w:rPr>
          <w:rFonts w:ascii="Calibri" w:cs="Calibri" w:eastAsia="Calibri" w:hAnsi="Calibri"/>
          <w:color w:val="858889"/>
          <w:sz w:val="19"/>
          <w:szCs w:val="19"/>
        </w:rPr>
        <w:t xml:space="preserve">Salvador, 22 de setembro de 2026</w:t>
      </w:r>
    </w:p>
    <w:p>
      <w:pPr>
        <w:spacing w:after="40"/>
      </w:pPr>
      <w:r>
        <w:rPr>
          <w:rFonts w:ascii="Calibri" w:cs="Calibri" w:eastAsia="Calibri" w:hAnsi="Calibri"/>
          <w:color w:val="858889"/>
          <w:sz w:val="19"/>
          <w:szCs w:val="19"/>
        </w:rPr>
        <w:t xml:space="preserve">Clima e Saúde nos Planos de Governo — Eleições 2026</w:t>
      </w:r>
    </w:p>
    <w:p>
      <w:pPr>
        <w:spacing w:after="40"/>
      </w:pPr>
      <w:r>
        <w:rPr>
          <w:rFonts w:ascii="Calibri" w:cs="Calibri" w:eastAsia="Calibri" w:hAnsi="Calibri"/>
          <w:color w:val="858889"/>
          <w:sz w:val="19"/>
          <w:szCs w:val="19"/>
        </w:rPr>
        <w:t xml:space="preserve">Versão 4.0 — final · corpus fechado em 22/09/2026 · Futura Evidence Lab para Instituto Ar e Médicos pelo Clima</w:t>
      </w:r>
    </w:p>
    <w:p>
      <w:r>
        <w:br w:type="page"/>
      </w:r>
    </w:p>
    <w:p>
      <w:pPr>
        <w:pStyle w:val="Heading1"/>
        <w:pBdr>
          <w:bottom w:val="single" w:color="026E81" w:sz="6" w:space="4"/>
        </w:pBdr>
        <w:spacing w:after="160" w:before="320"/>
      </w:pPr>
      <w:r>
        <w:rPr>
          <w:rFonts w:ascii="Georgia" w:cs="Georgia" w:eastAsia="Georgia" w:hAnsi="Georgia"/>
          <w:b/>
          <w:bCs/>
          <w:color w:val="026E81"/>
          <w:sz w:val="30"/>
          <w:szCs w:val="30"/>
        </w:rPr>
        <w:t xml:space="preserve">1. Introdução</w:t>
      </w:r>
    </w:p>
    <w:p>
      <w:pPr>
        <w:spacing w:after="140"/>
      </w:pPr>
      <w:r>
        <w:rPr>
          <w:rFonts w:ascii="Calibri" w:cs="Calibri" w:eastAsia="Calibri" w:hAnsi="Calibri"/>
          <w:color w:val="1E1A1B"/>
          <w:sz w:val="21"/>
          <w:szCs w:val="21"/>
        </w:rPr>
        <w:t xml:space="preserve">A pergunta que orienta este trabalho é descritiva, não avaliativa: onde, e com que palavras, os planos de governo registrados no Tribunal Superior Eleitoral para as eleições de 2026 tratam de mudança climática, de poluição do ar e da relação entre clima e saúde? O desenho responde com um registro auditável — cada afirmação publicada remete a um trecho, uma página e um documento — em vez de um índice, uma nota ou um ranking.</w:t>
      </w:r>
    </w:p>
    <w:p>
      <w:pPr>
        <w:spacing w:after="140"/>
      </w:pPr>
      <w:r>
        <w:rPr>
          <w:rFonts w:ascii="Calibri" w:cs="Calibri" w:eastAsia="Calibri" w:hAnsi="Calibri"/>
          <w:color w:val="1E1A1B"/>
          <w:sz w:val="21"/>
          <w:szCs w:val="21"/>
        </w:rPr>
        <w:t xml:space="preserve">O universo é toda candidatura com plano de governo registrado no TSE para a Presidência da República e para os governos do Rio Grande do Sul, de São Paulo e do Maranhão. Não é o total de candidatos inscritos a cada cargo: é o conjunto dos que registraram plano, dever legal das candidaturas majoritárias. Na data de corte, 22 de setembro de 2026, são 34 candidaturas, 37 arquivos e 2.319 páginas.</w:t>
      </w:r>
    </w:p>
    <w:p>
      <w:pPr>
        <w:spacing w:after="140"/>
      </w:pPr>
      <w:r>
        <w:rPr>
          <w:rFonts w:ascii="Calibri" w:cs="Calibri" w:eastAsia="Calibri" w:hAnsi="Calibri"/>
          <w:color w:val="1E1A1B"/>
          <w:sz w:val="21"/>
          <w:szCs w:val="21"/>
        </w:rPr>
        <w:t xml:space="preserve">Este documento é a descrição técnica integral do método. Uma versão para o leitor não especialista, com a mesma estrutura, é a Nota metodológica v4.0; o enquadramento do projeto na legislação eleitoral está na Nota de defeso v4.0; os dados por disputa, na Nota metodológica segmentada. O dicionário de recuperação, o manifesto de arquivos com impressões digitais e o registro do plano incluído por emenda acompanham este documento.</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0"/>
        <w:gridCol w:w="2350"/>
        <w:gridCol w:w="2350"/>
        <w:gridCol w:w="2350"/>
      </w:tblGrid>
      <w:tr>
        <w:tc>
          <w:tcPr>
            <w:tcW w:type="dxa" w:w="2350"/>
            <w:tcBorders>
              <w:top w:val="single" w:color="FFFFFF" w:sz="4"/>
              <w:left w:val="single" w:color="FFFFFF" w:sz="4"/>
              <w:bottom w:val="single" w:color="FFFFFF" w:sz="4"/>
              <w:right w:val="single" w:color="FFFFFF" w:sz="4"/>
            </w:tcBorders>
            <w:shd w:fill="026E81" w:val="clear"/>
            <w:tcMar>
              <w:top w:type="dxa" w:w="140"/>
              <w:left w:type="dxa" w:w="140"/>
              <w:bottom w:type="dxa" w:w="140"/>
              <w:right w:type="dxa" w:w="140"/>
            </w:tcMar>
          </w:tcPr>
          <w:p>
            <w:r>
              <w:rPr>
                <w:rFonts w:ascii="Georgia" w:cs="Georgia" w:eastAsia="Georgia" w:hAnsi="Georgia"/>
                <w:b/>
                <w:bCs/>
                <w:color w:val="FFFFFF"/>
                <w:sz w:val="30"/>
                <w:szCs w:val="30"/>
              </w:rPr>
              <w:t xml:space="preserve">34</w:t>
            </w:r>
          </w:p>
          <w:p>
            <w:r>
              <w:rPr>
                <w:rFonts w:ascii="Calibri" w:cs="Calibri" w:eastAsia="Calibri" w:hAnsi="Calibri"/>
                <w:color w:val="FFFFFF"/>
                <w:sz w:val="15"/>
                <w:szCs w:val="15"/>
              </w:rPr>
              <w:t xml:space="preserve">candidaturas</w:t>
            </w:r>
          </w:p>
        </w:tc>
        <w:tc>
          <w:tcPr>
            <w:tcW w:type="dxa" w:w="2350"/>
            <w:tcBorders>
              <w:top w:val="single" w:color="FFFFFF" w:sz="4"/>
              <w:left w:val="single" w:color="FFFFFF" w:sz="4"/>
              <w:bottom w:val="single" w:color="FFFFFF" w:sz="4"/>
              <w:right w:val="single" w:color="FFFFFF" w:sz="4"/>
            </w:tcBorders>
            <w:shd w:fill="026E81" w:val="clear"/>
            <w:tcMar>
              <w:top w:type="dxa" w:w="140"/>
              <w:left w:type="dxa" w:w="140"/>
              <w:bottom w:type="dxa" w:w="140"/>
              <w:right w:type="dxa" w:w="140"/>
            </w:tcMar>
          </w:tcPr>
          <w:p>
            <w:r>
              <w:rPr>
                <w:rFonts w:ascii="Georgia" w:cs="Georgia" w:eastAsia="Georgia" w:hAnsi="Georgia"/>
                <w:b/>
                <w:bCs/>
                <w:color w:val="FFFFFF"/>
                <w:sz w:val="30"/>
                <w:szCs w:val="30"/>
              </w:rPr>
              <w:t xml:space="preserve">37</w:t>
            </w:r>
          </w:p>
          <w:p>
            <w:r>
              <w:rPr>
                <w:rFonts w:ascii="Calibri" w:cs="Calibri" w:eastAsia="Calibri" w:hAnsi="Calibri"/>
                <w:color w:val="FFFFFF"/>
                <w:sz w:val="15"/>
                <w:szCs w:val="15"/>
              </w:rPr>
              <w:t xml:space="preserve">arquivos PDF</w:t>
            </w:r>
          </w:p>
        </w:tc>
        <w:tc>
          <w:tcPr>
            <w:tcW w:type="dxa" w:w="2350"/>
            <w:tcBorders>
              <w:top w:val="single" w:color="FFFFFF" w:sz="4"/>
              <w:left w:val="single" w:color="FFFFFF" w:sz="4"/>
              <w:bottom w:val="single" w:color="FFFFFF" w:sz="4"/>
              <w:right w:val="single" w:color="FFFFFF" w:sz="4"/>
            </w:tcBorders>
            <w:shd w:fill="026E81" w:val="clear"/>
            <w:tcMar>
              <w:top w:type="dxa" w:w="140"/>
              <w:left w:type="dxa" w:w="140"/>
              <w:bottom w:type="dxa" w:w="140"/>
              <w:right w:type="dxa" w:w="140"/>
            </w:tcMar>
          </w:tcPr>
          <w:p>
            <w:r>
              <w:rPr>
                <w:rFonts w:ascii="Georgia" w:cs="Georgia" w:eastAsia="Georgia" w:hAnsi="Georgia"/>
                <w:b/>
                <w:bCs/>
                <w:color w:val="FFFFFF"/>
                <w:sz w:val="30"/>
                <w:szCs w:val="30"/>
              </w:rPr>
              <w:t xml:space="preserve">2.319</w:t>
            </w:r>
          </w:p>
          <w:p>
            <w:r>
              <w:rPr>
                <w:rFonts w:ascii="Calibri" w:cs="Calibri" w:eastAsia="Calibri" w:hAnsi="Calibri"/>
                <w:color w:val="FFFFFF"/>
                <w:sz w:val="15"/>
                <w:szCs w:val="15"/>
              </w:rPr>
              <w:t xml:space="preserve">páginas</w:t>
            </w:r>
          </w:p>
        </w:tc>
        <w:tc>
          <w:tcPr>
            <w:tcW w:type="dxa" w:w="2350"/>
            <w:tcBorders>
              <w:top w:val="single" w:color="FFFFFF" w:sz="4"/>
              <w:left w:val="single" w:color="FFFFFF" w:sz="4"/>
              <w:bottom w:val="single" w:color="FFFFFF" w:sz="4"/>
              <w:right w:val="single" w:color="FFFFFF" w:sz="4"/>
            </w:tcBorders>
            <w:shd w:fill="026E81" w:val="clear"/>
            <w:tcMar>
              <w:top w:type="dxa" w:w="140"/>
              <w:left w:type="dxa" w:w="140"/>
              <w:bottom w:type="dxa" w:w="140"/>
              <w:right w:type="dxa" w:w="140"/>
            </w:tcMar>
          </w:tcPr>
          <w:p>
            <w:r>
              <w:rPr>
                <w:rFonts w:ascii="Georgia" w:cs="Georgia" w:eastAsia="Georgia" w:hAnsi="Georgia"/>
                <w:b/>
                <w:bCs/>
                <w:color w:val="FFFFFF"/>
                <w:sz w:val="30"/>
                <w:szCs w:val="30"/>
              </w:rPr>
              <w:t xml:space="preserve">825</w:t>
            </w:r>
          </w:p>
          <w:p>
            <w:r>
              <w:rPr>
                <w:rFonts w:ascii="Calibri" w:cs="Calibri" w:eastAsia="Calibri" w:hAnsi="Calibri"/>
                <w:color w:val="FFFFFF"/>
                <w:sz w:val="15"/>
                <w:szCs w:val="15"/>
              </w:rPr>
              <w:t xml:space="preserve">trechos</w:t>
            </w:r>
          </w:p>
        </w:tc>
      </w:tr>
    </w:tbl>
    <w:p>
      <w:pPr>
        <w:pStyle w:val="Heading1"/>
        <w:pBdr>
          <w:bottom w:val="single" w:color="026E81" w:sz="6" w:space="4"/>
        </w:pBdr>
        <w:spacing w:after="160" w:before="320"/>
      </w:pPr>
      <w:r>
        <w:rPr>
          <w:rFonts w:ascii="Georgia" w:cs="Georgia" w:eastAsia="Georgia" w:hAnsi="Georgia"/>
          <w:b/>
          <w:bCs/>
          <w:color w:val="026E81"/>
          <w:sz w:val="30"/>
          <w:szCs w:val="30"/>
        </w:rPr>
        <w:t xml:space="preserve">2. Fundamentação</w:t>
      </w:r>
    </w:p>
    <w:p>
      <w:pPr>
        <w:spacing w:after="140"/>
      </w:pPr>
      <w:r>
        <w:rPr>
          <w:rFonts w:ascii="Calibri" w:cs="Calibri" w:eastAsia="Calibri" w:hAnsi="Calibri"/>
          <w:color w:val="1E1A1B"/>
          <w:sz w:val="21"/>
          <w:szCs w:val="21"/>
        </w:rPr>
        <w:t xml:space="preserve">O desenho não parte do zero. Reaproveita decisões já testadas por seis tradições internacionais de monitoramento de clima e saúde e de codificação de textos programáticos, adota o que elas convergem em considerar rigoroso e descarta deliberadamente o que têm de avaliativo.</w:t>
      </w:r>
    </w:p>
    <w:p>
      <w:pPr>
        <w:spacing w:after="140"/>
      </w:pPr>
      <w:r>
        <w:rPr>
          <w:rFonts w:ascii="Calibri" w:cs="Calibri" w:eastAsia="Calibri" w:hAnsi="Calibri"/>
          <w:color w:val="1E1A1B"/>
          <w:sz w:val="21"/>
          <w:szCs w:val="21"/>
        </w:rPr>
        <w:t xml:space="preserve">Da Organização Mundial da Saúde (revisões de saúde nas NDCs, 2019 e 2023; critérios de qualidade, 2025) e da Global Climate and Health Alliance (Healthy NDC Scorecards, 2021 e 2023; Clean Air NDC Scorecard, 2023) vêm as famílias de categorias — governança integrada, impactos à saúde, ação do setor saúde, cobenefícios, financiamento, monitoramento — e a distinção, decisiva para este projeto, entre mencionar um tema e mencioná-lo de forma substantiva. Do Lancet Countdown (indicador 5.4, engajamento de governos) vem o modelo de detecção de menção presente ou ausente por documento. Do Climate Policy Radar e do Climate Change Laws of the World vem o padrão de vocabulário aberto e versionado, com changelog por conceito e validação de recall contra anotação manual. Do Manifesto Project (MARPOR) vêm a unidade de juízo por quase-sentença, o manual público e os testes de confiabilidade entre codificadores; do Comparative Agendas Project, o esquema hierárquico com regra de desempate; das tradições de pledge fulfillment, a exigência de que uma promessa seja testável. A estratégia de busca segue o checklist PRESS 2015: tradução da pergunta em blocos booleanos por conceito, recall medido contra padrão-ouro, testes de regressão a cada versão do dicionário.</w:t>
      </w:r>
    </w:p>
    <w:p>
      <w:pPr>
        <w:keepNext/>
        <w:keepLines/>
        <w:pBdr>
          <w:left w:val="single" w:color="FFC20E" w:sz="24" w:space="8"/>
        </w:pBdr>
        <w:shd w:fill="FFFBEB" w:color="auto" w:val="clear"/>
        <w:spacing w:after="60" w:before="120"/>
        <w:ind w:left="200" w:right="120"/>
      </w:pPr>
      <w:r>
        <w:rPr>
          <w:rFonts w:ascii="Georgia" w:cs="Georgia" w:eastAsia="Georgia" w:hAnsi="Georgia"/>
          <w:b/>
          <w:bCs/>
          <w:color w:val="7a5c00"/>
          <w:sz w:val="20"/>
          <w:szCs w:val="20"/>
        </w:rPr>
        <w:t xml:space="preserve">A escolha que atravessa o projeto inteiro</w:t>
      </w:r>
    </w:p>
    <w:p>
      <w:pPr>
        <w:keepNext w:val="false"/>
        <w:keepLines/>
        <w:pBdr>
          <w:left w:val="single" w:color="FFC20E" w:sz="24" w:space="8"/>
        </w:pBdr>
        <w:shd w:fill="FFFBEB" w:color="auto" w:val="clear"/>
        <w:spacing w:after="200" w:before="0"/>
        <w:ind w:left="200" w:right="120"/>
      </w:pPr>
      <w:r>
        <w:rPr>
          <w:rFonts w:ascii="Calibri" w:cs="Calibri" w:eastAsia="Calibri" w:hAnsi="Calibri"/>
          <w:color w:val="1E1A1B"/>
          <w:sz w:val="20"/>
          <w:szCs w:val="20"/>
        </w:rPr>
        <w:t xml:space="preserve">As tradições revisadas convergem em decisões reaproveitáveis — unidade de análise por trecho, vocabulário público e versionado, categorias fechadas, validação por recall e por concordância entre codificadores —, mas quase todas produzem escores e rankings. O projeto adota as categorias e o rigor de validação e descarta os pontos e os placares. Extensão e densidade textual não medem prioridade política; converter contagem em nota importaria um juízo que nenhuma das fontes primárias — os próprios planos — declarou.</w:t>
      </w:r>
    </w:p>
    <w:p>
      <w:pPr>
        <w:pStyle w:val="Heading1"/>
        <w:pBdr>
          <w:bottom w:val="single" w:color="026E81" w:sz="6" w:space="4"/>
        </w:pBdr>
        <w:spacing w:after="160" w:before="320"/>
      </w:pPr>
      <w:r>
        <w:rPr>
          <w:rFonts w:ascii="Georgia" w:cs="Georgia" w:eastAsia="Georgia" w:hAnsi="Georgia"/>
          <w:b/>
          <w:bCs/>
          <w:color w:val="026E81"/>
          <w:sz w:val="30"/>
          <w:szCs w:val="30"/>
        </w:rPr>
        <w:t xml:space="preserve">3. Metodologia</w:t>
      </w:r>
    </w:p>
    <w:p>
      <w:pPr>
        <w:pStyle w:val="Heading2"/>
        <w:spacing w:after="100" w:before="220"/>
      </w:pPr>
      <w:r>
        <w:rPr>
          <w:rFonts w:ascii="Georgia" w:cs="Georgia" w:eastAsia="Georgia" w:hAnsi="Georgia"/>
          <w:b/>
          <w:bCs/>
          <w:color w:val="026E81"/>
          <w:sz w:val="24"/>
          <w:szCs w:val="24"/>
        </w:rPr>
        <w:t xml:space="preserve">3.1 Corpus: coleta, corte e composição</w:t>
      </w:r>
    </w:p>
    <w:p>
      <w:pPr>
        <w:spacing w:after="140"/>
      </w:pPr>
      <w:r>
        <w:rPr>
          <w:rFonts w:ascii="Calibri" w:cs="Calibri" w:eastAsia="Calibri" w:hAnsi="Calibri"/>
          <w:color w:val="1E1A1B"/>
          <w:sz w:val="21"/>
          <w:szCs w:val="21"/>
        </w:rPr>
        <w:t xml:space="preserve">Os documentos vêm exclusivamente do portal de dados abertos do TSE, nos pacotes proposta_governo_2026 por disputa, obtidos em máquina com IP brasileiro — o TSE bloqueia acessos estrangeiros nas rotas do seu CDN — pela coordenação do projeto, e fornecidos à equipe de análise. Cada arquivo recebe uma impressão digital SHA-256 no momento da coleta, para verificar integridade e detectar substituições. A coleta original ocorreu em 3 de setembro de 2026; o corpus foi fechado com nova fotografia dos mesmos pacotes em 22 de setembro de 2026, por volta das 4h42 (horário de Brasília).</w:t>
      </w:r>
    </w:p>
    <w:p>
      <w:pPr>
        <w:spacing w:after="140"/>
      </w:pPr>
      <w:r>
        <w:rPr>
          <w:rFonts w:ascii="Calibri" w:cs="Calibri" w:eastAsia="Calibri" w:hAnsi="Calibri"/>
          <w:color w:val="1E1A1B"/>
          <w:sz w:val="21"/>
          <w:szCs w:val="21"/>
        </w:rPr>
        <w:t xml:space="preserve">A comparação hash a hash entre as duas fotografias mostrou: 35 arquivos idênticos, nenhum removido, nenhum substituído, um arquivo novo — o plano do PRTB registrado em 14 de setembro — e dois arquivos de São Paulo cujo sufixo _01/_03 foi trocado pelo export do TSE sem alteração de conteúdo. Daí a regra de identificação de partes: o sufixo _NN de planos multipartes é atribuído pelo export e não é estável entre downloads; cada parte é identificada por seu SHA-256, e os links do site são resolvidos por hash na construção.</w:t>
      </w:r>
    </w:p>
    <w:p>
      <w:pPr>
        <w:spacing w:after="140"/>
      </w:pPr>
      <w:r>
        <w:rPr>
          <w:rFonts w:ascii="Calibri" w:cs="Calibri" w:eastAsia="Calibri" w:hAnsi="Calibri"/>
          <w:color w:val="1E1A1B"/>
          <w:sz w:val="21"/>
          <w:szCs w:val="21"/>
        </w:rPr>
        <w:t xml:space="preserve">Os 37 arquivos correspondem a 34 candidaturas por duas razões: um plano de São Paulo (sequencial 544912) foi registrado em três arquivos, e um plano do Maranhão aparece no pacote sob dois números de protocolo (544075 e 544076) com conteúdo byte a byte idêntico — contado como uma candidatura. O documento do PCO, um mesmo arquivo de sete páginas nas quatro disputas, não reduz a contagem: são quatro candidaturas distintas. As 2.298 páginas distintas descontam a duplicata maranhense e as três cópias adicionais do PCO.</w:t>
      </w:r>
    </w:p>
    <w:p>
      <w:pPr>
        <w:keepNext/>
        <w:keepLines/>
        <w:pBdr>
          <w:left w:val="single" w:color="026E81" w:sz="24" w:space="8"/>
        </w:pBdr>
        <w:shd w:fill="F4F3F4" w:color="auto" w:val="clear"/>
        <w:spacing w:after="60" w:before="120"/>
        <w:ind w:left="200" w:right="120"/>
      </w:pPr>
      <w:r>
        <w:rPr>
          <w:rFonts w:ascii="Georgia" w:cs="Georgia" w:eastAsia="Georgia" w:hAnsi="Georgia"/>
          <w:b/>
          <w:bCs/>
          <w:color w:val="026E81"/>
          <w:sz w:val="20"/>
          <w:szCs w:val="20"/>
        </w:rPr>
        <w:t xml:space="preserve">Regra de composição do corpus</w:t>
      </w:r>
    </w:p>
    <w:p>
      <w:pPr>
        <w:keepNext w:val="false"/>
        <w:keepLines/>
        <w:pBdr>
          <w:left w:val="single" w:color="026E81" w:sz="24" w:space="8"/>
        </w:pBdr>
        <w:shd w:fill="F4F3F4" w:color="auto" w:val="clear"/>
        <w:spacing w:after="200" w:before="0"/>
        <w:ind w:left="200" w:right="120"/>
      </w:pPr>
      <w:r>
        <w:rPr>
          <w:rFonts w:ascii="Calibri" w:cs="Calibri" w:eastAsia="Calibri" w:hAnsi="Calibri"/>
          <w:color w:val="1E1A1B"/>
          <w:sz w:val="20"/>
          <w:szCs w:val="20"/>
        </w:rPr>
        <w:t xml:space="preserve">Uma candidatura sai do corpus somente quando sua exclusão da disputa é definitiva — registro indeferido sem recurso pendente, ou renúncia. Com recurso ou julgamento em aberto, o processo não terminou e o plano permanece, com a situação registrada na data de corte. É a regra do projeto, e não o pacote do TSE, que define quem entra: o arquivo de uma candidatura indeferida continua disponível no export.</w:t>
      </w:r>
    </w:p>
    <w:p>
      <w:pPr>
        <w:spacing w:after="140"/>
      </w:pPr>
      <w:r>
        <w:rPr>
          <w:rFonts w:ascii="Calibri" w:cs="Calibri" w:eastAsia="Calibri" w:hAnsi="Calibri"/>
          <w:color w:val="1E1A1B"/>
          <w:sz w:val="21"/>
          <w:szCs w:val="21"/>
        </w:rPr>
        <w:t xml:space="preserve">A regra foi aplicada a três situações. A candidatura de Pablo Marçal (PRTB) à Presidência, coletada em 3 de setembro, foi indeferida por unanimidade em 11 de setembro — filiação partidária fora do prazo e inelegibilidade até 2032 — e seguida de renúncia em 14 de setembro: exclusão definitiva, plano retirado; como não tinha trecho em nenhum tema, nenhuma contagem de tema mudou. As três candidaturas estaduais do PCO — Rio Grande do Sul, São Paulo e Maranhão — constam como indeferidas com recurso pendente na data de corte, por indeferimento do registro do diretório estadual do partido: permanecem, com a situação declarada. A candidatura de Leonardo Avalanche (PRTB), registrada em 14 de setembro como titular após a saída de Marçal, com plano próprio de 48 páginas, consta como em julgamento: processo não terminado, portanto válida, foi incluída na fotografia de 22 de setembro.</w:t>
      </w:r>
    </w:p>
    <w:p>
      <w:pPr>
        <w:keepNext/>
        <w:keepLines/>
        <w:pBdr>
          <w:left w:val="single" w:color="026E81" w:sz="24" w:space="8"/>
        </w:pBdr>
        <w:shd w:fill="F4F3F4" w:color="auto" w:val="clear"/>
        <w:spacing w:after="60" w:before="120"/>
        <w:ind w:left="200" w:right="120"/>
      </w:pPr>
      <w:r>
        <w:rPr>
          <w:rFonts w:ascii="Georgia" w:cs="Georgia" w:eastAsia="Georgia" w:hAnsi="Georgia"/>
          <w:b/>
          <w:bCs/>
          <w:color w:val="026E81"/>
          <w:sz w:val="20"/>
          <w:szCs w:val="20"/>
        </w:rPr>
        <w:t xml:space="preserve">O plano incluído por emenda</w:t>
      </w:r>
    </w:p>
    <w:p>
      <w:pPr>
        <w:keepNext w:val="false"/>
        <w:keepLines/>
        <w:pBdr>
          <w:left w:val="single" w:color="026E81" w:sz="24" w:space="8"/>
        </w:pBdr>
        <w:shd w:fill="F4F3F4" w:color="auto" w:val="clear"/>
        <w:spacing w:after="200" w:before="0"/>
        <w:ind w:left="200" w:right="120"/>
      </w:pPr>
      <w:r>
        <w:rPr>
          <w:rFonts w:ascii="Calibri" w:cs="Calibri" w:eastAsia="Calibri" w:hAnsi="Calibri"/>
          <w:color w:val="1E1A1B"/>
          <w:sz w:val="20"/>
          <w:szCs w:val="20"/>
        </w:rPr>
        <w:t xml:space="preserve">Por ser posterior à coleta original, o plano do PRTB (protocolo 280002554479) não constava do primeiro pacote. Entrou na fotografia de 22 de setembro e passou pelo mesmo processo dos demais: dicionário v3.1 (136 ocorrências, 15 candidatos a trecho), classificação pelo manual e revisão integral de cada candidato pela coordenação, que confirmou 3 trechos mantidos (mitigação, 2; adaptação, 1), 3 descartes por homonímia e 3 passagens fora da matriz como objeto sem vínculo. O registro está publicado em arquivo próprio, com hash, página, citação e justificativa de cada decisão.</w:t>
      </w:r>
    </w:p>
    <w:p>
      <w:pPr>
        <w:pStyle w:val="Heading2"/>
        <w:spacing w:after="100" w:before="220"/>
      </w:pPr>
      <w:r>
        <w:rPr>
          <w:rFonts w:ascii="Georgia" w:cs="Georgia" w:eastAsia="Georgia" w:hAnsi="Georgia"/>
          <w:b/>
          <w:bCs/>
          <w:color w:val="026E81"/>
          <w:sz w:val="24"/>
          <w:szCs w:val="24"/>
        </w:rPr>
        <w:t xml:space="preserve">3.2 Identificação das candidaturas</w:t>
      </w:r>
    </w:p>
    <w:p>
      <w:pPr>
        <w:spacing w:after="140"/>
      </w:pPr>
      <w:r>
        <w:rPr>
          <w:rFonts w:ascii="Calibri" w:cs="Calibri" w:eastAsia="Calibri" w:hAnsi="Calibri"/>
          <w:color w:val="1E1A1B"/>
          <w:sz w:val="21"/>
          <w:szCs w:val="21"/>
        </w:rPr>
        <w:t xml:space="preserve">O pacote do TSE identifica cada plano apenas pelo número de protocolo. O nome da candidatura é estabelecido em três etapas, nesta ordem: o texto visível do documento; os metadados do arquivo PDF; e, quando nenhum dos dois basta, a verificação no sistema de candidaturas do TSE (DivulgaCandContas), exigindo correspondência exata entre o protocolo da candidatura e o sequencial do arquivo. A distinção operacional é entre inferir um nome e verificá-lo: a primeira operação é vedada; a segunda, contra fonte oficial e com correspondência de protocolo, é parte do método. Nenhum nome é atribuído por semelhança temática ou de estilo.</w:t>
      </w:r>
    </w:p>
    <w:p>
      <w:pPr>
        <w:spacing w:after="140"/>
      </w:pPr>
      <w:r>
        <w:rPr>
          <w:rFonts w:ascii="Calibri" w:cs="Calibri" w:eastAsia="Calibri" w:hAnsi="Calibri"/>
          <w:color w:val="1E1A1B"/>
          <w:sz w:val="21"/>
          <w:szCs w:val="21"/>
        </w:rPr>
        <w:t xml:space="preserve">Todas as 34 candidaturas estão identificadas por nome e partido. Para 25 o nome consta no texto do plano — inclusive Augusto Cury (Avante), cujo nome, ausente da capa, foi localizado primeiro nos metadados do PDF e depois confirmado no corpo do texto e pelo protocolo. Para as nove demais foi estabelecido pelo protocolo: Clariana Barão (DC), Samara Martins (UP), Renan Santos (Missão), Hertz Dias (PSTU), Edmilson Costa (PCB) e os quatro candidatos do PCO — Rui Costa Pimenta, Cesar Pontes, Izadora Dias e Dimas Cassimiro —, cujo documento comum não nomeia candidato. A ordem de registro no TSE, usada em todas as tabelas, foi validada pela correspondência de protocolo em oito das treze candidaturas presidenciais, que a ancoram de ponta a ponta.</w:t>
      </w:r>
    </w:p>
    <w:p>
      <w:pPr>
        <w:pStyle w:val="Heading2"/>
        <w:spacing w:after="100" w:before="220"/>
      </w:pPr>
      <w:r>
        <w:rPr>
          <w:rFonts w:ascii="Georgia" w:cs="Georgia" w:eastAsia="Georgia" w:hAnsi="Georgia"/>
          <w:b/>
          <w:bCs/>
          <w:color w:val="026E81"/>
          <w:sz w:val="24"/>
          <w:szCs w:val="24"/>
        </w:rPr>
        <w:t xml:space="preserve">3.3 O dicionário de recuperação</w:t>
      </w:r>
    </w:p>
    <w:p>
      <w:pPr>
        <w:spacing w:after="140"/>
      </w:pPr>
      <w:r>
        <w:rPr>
          <w:rFonts w:ascii="Calibri" w:cs="Calibri" w:eastAsia="Calibri" w:hAnsi="Calibri"/>
          <w:color w:val="1E1A1B"/>
          <w:sz w:val="21"/>
          <w:szCs w:val="21"/>
        </w:rPr>
        <w:t xml:space="preserve">A leitura dos planos é feita por um dicionário — uma lista fechada de termos, cada um com fonte declarada —, não por leitura humana livre. A escolha é de método: um dicionário aplica exatamente os mesmos termos, da mesma forma, a cada plano, sem que a familiaridade do leitor com um tema ou um candidato pese mais num documento do que em outro (isenção), e produz um resultado que qualquer pessoa reproduz com a mesma lista e os mesmos arquivos (rigor).</w:t>
      </w:r>
    </w:p>
    <w:p>
      <w:pPr>
        <w:spacing w:after="140"/>
      </w:pPr>
      <w:r>
        <w:rPr>
          <w:rFonts w:ascii="Calibri" w:cs="Calibri" w:eastAsia="Calibri" w:hAnsi="Calibri"/>
          <w:color w:val="1E1A1B"/>
          <w:sz w:val="21"/>
          <w:szCs w:val="21"/>
        </w:rPr>
        <w:t xml:space="preserve">A versão 3.1 (4 de setembro de 2026) tem 190 entradas — 188 termos distintos, dois deles em dois blocos —, organizadas em blocos por conceito: clima, eventos extremos, adaptação e resiliência, poluição do ar, saúde, populações vulneráveis e setores (energia, transporte, indústria e mineração, uso da terra, resíduos). As fontes: Lei 14.850/2024 (Política Nacional de Qualidade do Ar), Resolução Conama 506/2024, a NDC do Brasil (2024), o Plano Clima e o AdaptaSUS, o DeCS (BIREME/OPAS), as Diretrizes Globais de Qualidade do Ar da OMS (2021) e a Declaração de Clima e Saúde da COP28. A nomenclatura canônica é a legal brasileira (MP2,5, MP10), com as formas internacionais (PM2.5, PM10) como variantes de recuperação.</w:t>
      </w:r>
    </w:p>
    <w:p>
      <w:pPr>
        <w:spacing w:after="140"/>
      </w:pPr>
      <w:r>
        <w:rPr>
          <w:rFonts w:ascii="Calibri" w:cs="Calibri" w:eastAsia="Calibri" w:hAnsi="Calibri"/>
          <w:color w:val="1E1A1B"/>
          <w:sz w:val="21"/>
          <w:szCs w:val="21"/>
        </w:rPr>
        <w:t xml:space="preserve">Os termos têm três níveis. Gatilho: cria por si só um trecho candidato. Objeto: nomeia um fenômeno reconhecido como climático por fonte pública; entra como candidato e só é mantido se o texto ou uma fonte externa citável fizer o vínculo (objeto atribuível) — ou fica fora da matriz, registrado no perfil do plano, quando o vínculo não é feito (objeto sem vínculo). Contexto: não cria trecho; ajuda a decidir sobre um candidato já encontrado. Essa gradação impede que toda menção a saúde vire, automaticamente, uma menção a clima.</w:t>
      </w:r>
    </w:p>
    <w:p>
      <w:pPr>
        <w:spacing w:after="140"/>
      </w:pPr>
      <w:r>
        <w:rPr>
          <w:rFonts w:ascii="Calibri" w:cs="Calibri" w:eastAsia="Calibri" w:hAnsi="Calibri"/>
          <w:color w:val="1E1A1B"/>
          <w:sz w:val="21"/>
          <w:szCs w:val="21"/>
        </w:rPr>
        <w:t xml:space="preserve">A cobertura foi testada por leitura integral de um plano de 100 páginas contra padrão-ouro lido à mão: recall de 93% dos trechos e de 100% das páginas com pelo menos um trecho relevante — acima do referencial de 90% que orienta a decisão de expandir sinônimos antes de avançar. O dicionário é versionado com changelog; toda alteração é registrada com data e motivo.</w:t>
      </w:r>
    </w:p>
    <w:p>
      <w:pPr>
        <w:keepNext/>
        <w:keepLines/>
        <w:pBdr>
          <w:left w:val="single" w:color="FFC20E" w:sz="24" w:space="8"/>
        </w:pBdr>
        <w:shd w:fill="FFFBEB" w:color="auto" w:val="clear"/>
        <w:spacing w:after="60" w:before="120"/>
        <w:ind w:left="200" w:right="120"/>
      </w:pPr>
      <w:r>
        <w:rPr>
          <w:rFonts w:ascii="Georgia" w:cs="Georgia" w:eastAsia="Georgia" w:hAnsi="Georgia"/>
          <w:b/>
          <w:bCs/>
          <w:color w:val="7a5c00"/>
          <w:sz w:val="20"/>
          <w:szCs w:val="20"/>
        </w:rPr>
        <w:t xml:space="preserve">Changelog aberto para a versão 3.2</w:t>
      </w:r>
    </w:p>
    <w:p>
      <w:pPr>
        <w:keepNext/>
        <w:keepLines/>
        <w:pBdr>
          <w:left w:val="single" w:color="FFC20E" w:sz="24" w:space="8"/>
        </w:pBdr>
        <w:shd w:fill="FFFBEB" w:color="auto" w:val="clear"/>
        <w:spacing w:after="60" w:before="0"/>
        <w:ind w:left="200" w:right="120"/>
      </w:pPr>
      <w:r>
        <w:rPr>
          <w:rFonts w:ascii="Calibri" w:cs="Calibri" w:eastAsia="Calibri" w:hAnsi="Calibri"/>
          <w:color w:val="1E1A1B"/>
          <w:sz w:val="20"/>
          <w:szCs w:val="20"/>
        </w:rPr>
        <w:t xml:space="preserve">VIGIAR e VIGIÁGUA ocorrem uma vez cada, em caixa alta, num plano maranhense; o dicionário exige grafia que não colida com o verbo comum e não as reconhece na varredura — foram capturadas na leitura humana e entram como variantes candidatas.</w:t>
      </w:r>
    </w:p>
    <w:p>
      <w:pPr>
        <w:keepNext w:val="false"/>
        <w:keepLines/>
        <w:pBdr>
          <w:left w:val="single" w:color="FFC20E" w:sz="24" w:space="8"/>
        </w:pBdr>
        <w:shd w:fill="FFFBEB" w:color="auto" w:val="clear"/>
        <w:spacing w:after="200" w:before="0"/>
        <w:ind w:left="200" w:right="120"/>
      </w:pPr>
      <w:r>
        <w:rPr>
          <w:rFonts w:ascii="Calibri" w:cs="Calibri" w:eastAsia="Calibri" w:hAnsi="Calibri"/>
          <w:color w:val="1E1A1B"/>
          <w:sz w:val="20"/>
          <w:szCs w:val="20"/>
        </w:rPr>
        <w:t xml:space="preserve">A variante em minúsculas de MonitorAr (o sistema nacional de gestão da qualidade do ar) coincide com o verbo comum 'monitorar' e produziu um falso positivo, descartado por homonímia no plano incluído em 22/09. A variante deve exigir grafia distintiva.</w:t>
      </w:r>
    </w:p>
    <w:p>
      <w:pPr>
        <w:pStyle w:val="Heading2"/>
        <w:spacing w:after="100" w:before="220"/>
      </w:pPr>
      <w:r>
        <w:rPr>
          <w:rFonts w:ascii="Georgia" w:cs="Georgia" w:eastAsia="Georgia" w:hAnsi="Georgia"/>
          <w:b/>
          <w:bCs/>
          <w:color w:val="026E81"/>
          <w:sz w:val="24"/>
          <w:szCs w:val="24"/>
        </w:rPr>
        <w:t xml:space="preserve">3.4 Esquema de classificação</w:t>
      </w:r>
    </w:p>
    <w:p>
      <w:pPr>
        <w:spacing w:after="140"/>
      </w:pPr>
      <w:r>
        <w:rPr>
          <w:rFonts w:ascii="Calibri" w:cs="Calibri" w:eastAsia="Calibri" w:hAnsi="Calibri"/>
          <w:color w:val="1E1A1B"/>
          <w:sz w:val="21"/>
          <w:szCs w:val="21"/>
        </w:rPr>
        <w:t xml:space="preserve">Quatro temas comparáveis — mitigação climática, adaptação e eventos extremos, poluição do ar, impactos do clima na saúde — substituíram um desenho anterior de seis eixos: governança climática e ação do setor saúde deixaram de ser eixos da matriz comparativa, para manter os temas comparáveis entre disputas de competências institucionais tão diferentes. Seus 51 trechos continuam publicados no perfil de cada plano, como camada visível fora da contagem.</w:t>
      </w:r>
    </w:p>
    <w:p>
      <w:pPr>
        <w:spacing w:after="140"/>
      </w:pPr>
      <w:r>
        <w:rPr>
          <w:rFonts w:ascii="Calibri" w:cs="Calibri" w:eastAsia="Calibri" w:hAnsi="Calibri"/>
          <w:color w:val="1E1A1B"/>
          <w:sz w:val="21"/>
          <w:szCs w:val="21"/>
        </w:rPr>
        <w:t xml:space="preserve">Cada trecho candidato passa primeiro por um checklist de descarte com razão declarada: (a) homonímia — a palavra com outro sentido; (b) contexto não programático — sumário, título solto, legenda; (c) outro domínio — um deslizamento de rejeitos de mineração não é evento climático; (d) repetição — o trecho já registrado no mesmo documento. Mantido, recebe três atributos. Estatuto: enunciada, quando o plano usa o vocabulário do tema; atribuível, quando trata de um objeto — enchente, seca, queimada, Defesa Civil em contexto de desastre — cujo vínculo com o tema vem de fonte pública nomeada, não da interpretação do leitor. Natureza: proposta, diagnóstico ou incidental. Atributos formais: meta com número ou percentual verificável, prazo, orçamento e referência a lei ou plano nomeado.</w:t>
      </w:r>
    </w:p>
    <w:p>
      <w:pPr>
        <w:keepNext/>
        <w:keepLines/>
        <w:pBdr>
          <w:left w:val="single" w:color="026E81" w:sz="24" w:space="8"/>
        </w:pBdr>
        <w:shd w:fill="F4F3F4" w:color="auto" w:val="clear"/>
        <w:spacing w:after="60" w:before="120"/>
        <w:ind w:left="200" w:right="120"/>
      </w:pPr>
      <w:r>
        <w:rPr>
          <w:rFonts w:ascii="Georgia" w:cs="Georgia" w:eastAsia="Georgia" w:hAnsi="Georgia"/>
          <w:b/>
          <w:bCs/>
          <w:color w:val="026E81"/>
          <w:sz w:val="20"/>
          <w:szCs w:val="20"/>
        </w:rPr>
        <w:t xml:space="preserve">A regra de fronteira entre adaptação e impactos na saúde</w:t>
      </w:r>
    </w:p>
    <w:p>
      <w:pPr>
        <w:keepNext/>
        <w:keepLines/>
        <w:pBdr>
          <w:left w:val="single" w:color="026E81" w:sz="24" w:space="8"/>
        </w:pBdr>
        <w:shd w:fill="F4F3F4" w:color="auto" w:val="clear"/>
        <w:spacing w:after="60" w:before="0"/>
        <w:ind w:left="200" w:right="120"/>
      </w:pPr>
      <w:r>
        <w:rPr>
          <w:rFonts w:ascii="Calibri" w:cs="Calibri" w:eastAsia="Calibri" w:hAnsi="Calibri"/>
          <w:color w:val="1E1A1B"/>
          <w:sz w:val="20"/>
          <w:szCs w:val="20"/>
        </w:rPr>
        <w:t xml:space="preserve">A redação anterior era mais larga do que a classificação efetivamente feita: bastava o trecho nomear dano humano ou termo de saúde. A redação final tem três cláusulas:</w:t>
      </w:r>
    </w:p>
    <w:p>
      <w:pPr>
        <w:keepNext/>
        <w:keepLines/>
        <w:pBdr>
          <w:left w:val="single" w:color="026E81" w:sz="24" w:space="8"/>
        </w:pBdr>
        <w:shd w:fill="F4F3F4" w:color="auto" w:val="clear"/>
        <w:spacing w:after="60" w:before="0"/>
        <w:ind w:left="200" w:right="120"/>
      </w:pPr>
      <w:r>
        <w:rPr>
          <w:rFonts w:ascii="Calibri" w:cs="Calibri" w:eastAsia="Calibri" w:hAnsi="Calibri"/>
          <w:color w:val="1E1A1B"/>
          <w:sz w:val="20"/>
          <w:szCs w:val="20"/>
        </w:rPr>
        <w:t xml:space="preserve">(1) O tema é impactos do clima na saúde quando o dano à saúde humana — doença, morte, agravo, sobrecarga do sistema de saúde — é o objeto do enunciado, afirmado como ocorrência, consequência ou risco decorrente do clima, de evento extremo ou da poluição do ar.</w:t>
      </w:r>
    </w:p>
    <w:p>
      <w:pPr>
        <w:keepNext/>
        <w:keepLines/>
        <w:pBdr>
          <w:left w:val="single" w:color="026E81" w:sz="24" w:space="8"/>
        </w:pBdr>
        <w:shd w:fill="F4F3F4" w:color="auto" w:val="clear"/>
        <w:spacing w:after="60" w:before="0"/>
        <w:ind w:left="200" w:right="120"/>
      </w:pPr>
      <w:r>
        <w:rPr>
          <w:rFonts w:ascii="Calibri" w:cs="Calibri" w:eastAsia="Calibri" w:hAnsi="Calibri"/>
          <w:color w:val="1E1A1B"/>
          <w:sz w:val="20"/>
          <w:szCs w:val="20"/>
        </w:rPr>
        <w:t xml:space="preserve">(2) Permanece em adaptação quando o objeto do enunciado é a ação de proteção e o dano humano aparece apenas como a perda que essa ação pretende evitar, ao lado de perdas materiais.</w:t>
      </w:r>
    </w:p>
    <w:p>
      <w:pPr>
        <w:keepNext w:val="false"/>
        <w:keepLines/>
        <w:pBdr>
          <w:left w:val="single" w:color="026E81" w:sz="24" w:space="8"/>
        </w:pBdr>
        <w:shd w:fill="F4F3F4" w:color="auto" w:val="clear"/>
        <w:spacing w:after="200" w:before="0"/>
        <w:ind w:left="200" w:right="120"/>
      </w:pPr>
      <w:r>
        <w:rPr>
          <w:rFonts w:ascii="Calibri" w:cs="Calibri" w:eastAsia="Calibri" w:hAnsi="Calibri"/>
          <w:color w:val="1E1A1B"/>
          <w:sz w:val="20"/>
          <w:szCs w:val="20"/>
        </w:rPr>
        <w:t xml:space="preserve">(3) Termo de saúde usado como nome de setor, órgão, serviço ou finalidade de política, sem dano enunciado, não gera o tema.</w:t>
      </w:r>
    </w:p>
    <w:p>
      <w:pPr>
        <w:spacing w:after="140"/>
      </w:pPr>
      <w:r>
        <w:rPr>
          <w:rFonts w:ascii="Calibri" w:cs="Calibri" w:eastAsia="Calibri" w:hAnsi="Calibri"/>
          <w:color w:val="1E1A1B"/>
          <w:sz w:val="21"/>
          <w:szCs w:val="21"/>
        </w:rPr>
        <w:t xml:space="preserve">Três outras decisões de método, registradas com os casos afetados: relato de gestão em curso — trechos em que um plano de reeleição descreve o que o próprio governo já fez — continua contado como diagnóstico, com atributo histórico visível (sem ele, o plano presidencial mais afetado cairia de 55 para 38 trechos); desmatamento permanece objeto sem vínculo, no perfil e fora da matriz (contado, acrescentaria dezenas de menções em quase todos os planos sem que o vínculo fosse feito pelo próprio plano); e a matriz de quatro temas, com os 51 trechos de governança e setor saúde preservados fora da contagem.</w:t>
      </w:r>
    </w:p>
    <w:p>
      <w:pPr>
        <w:pStyle w:val="Heading2"/>
        <w:spacing w:after="100" w:before="220"/>
      </w:pPr>
      <w:r>
        <w:rPr>
          <w:rFonts w:ascii="Georgia" w:cs="Georgia" w:eastAsia="Georgia" w:hAnsi="Georgia"/>
          <w:b/>
          <w:bCs/>
          <w:color w:val="026E81"/>
          <w:sz w:val="24"/>
          <w:szCs w:val="24"/>
        </w:rPr>
        <w:t xml:space="preserve">3.5 Pipeline e verificação</w:t>
      </w:r>
    </w:p>
    <w:p>
      <w:pPr>
        <w:spacing w:after="140"/>
      </w:pPr>
      <w:r>
        <w:rPr>
          <w:rFonts w:ascii="Calibri" w:cs="Calibri" w:eastAsia="Calibri" w:hAnsi="Calibri"/>
          <w:color w:val="1E1A1B"/>
          <w:sz w:val="21"/>
          <w:szCs w:val="21"/>
        </w:rPr>
        <w:t xml:space="preserve">As quatro disputas passaram pelo mesmo pipeline, sem exceção: coleta e verificação de hash → extração de texto → varredura pelo dicionário v3.1 → recuperação de 1.238 trechos candidatos → pré-classificação assistida por modelo, em lotes, contra o manual de codificação → triagem por camada de risco → revisão humana da fila estratificada → registro final com estado de verificação por trecho. A deduplicação, antes tratada como julgamento humano, passou a detecção por código: mesmo documento, sobreposição de tokens igual ou acima de 80%, ou repetição literal entre páginas.</w:t>
      </w:r>
    </w:p>
    <w:p>
      <w:pPr>
        <w:spacing w:after="140"/>
      </w:pPr>
      <w:r>
        <w:rPr>
          <w:rFonts w:ascii="Calibri" w:cs="Calibri" w:eastAsia="Calibri" w:hAnsi="Calibri"/>
          <w:color w:val="1E1A1B"/>
          <w:sz w:val="21"/>
          <w:szCs w:val="21"/>
        </w:rPr>
        <w:t xml:space="preserve">A triagem separa o estável do ambíguo por autoconsenso em três rodadas. R1 é a pré-classificação original. R2 é uma rodada cega à R1, com os lotes embaralhados e instrução deliberadamente mais cética. R3 adjudica as divergências entre R1 e R2, vendo as duas leituras, com justificativa pelo manual e rótulo de divergência resolvida ou genuína. Um achado mudou o desenho antes da revisão humana: 162 das 175 divergências de decisão entre R1 e R2 eram descartes por duplicação — artefato do embaralhamento, não desacordo sobre conteúdo — e a deduplicação foi isolada como camada própria, por código.</w:t>
      </w:r>
    </w:p>
    <w:p>
      <w:pPr>
        <w:spacing w:after="140"/>
      </w:pPr>
      <w:r>
        <w:rPr>
          <w:rFonts w:ascii="Calibri" w:cs="Calibri" w:eastAsia="Calibri" w:hAnsi="Calibri"/>
          <w:color w:val="1E1A1B"/>
          <w:sz w:val="21"/>
          <w:szCs w:val="21"/>
        </w:rPr>
        <w:t xml:space="preserve">Concordância R1×R2, antes de retirar duplicados: 86% na decisão de manter ou descartar (kappa 0,60). Entre os itens mantidos pelas duas rodadas, o tema concorda em 97,6% (kappa 0,95, n = 874) — o campo mais estável. A natureza, entre os concordantes em tema, concorda em 93% — o campo mais frágil, sobretudo na fronteira entre proposta e incidental. O resultado é uma fila de 166 itens de leitura humana, estratificada por onde um erro mais mudaria o retrato publicado: as ambiguidades genuínas, a totalidade dos dois temas raros e amostras de controle das camadas automáticas.</w:t>
      </w: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000"/>
        <w:gridCol w:w="900"/>
        <w:gridCol w:w="1500"/>
        <w:gridCol w:w="1100"/>
        <w:gridCol w:w="1800"/>
      </w:tblGrid>
      <w:tr>
        <w:trPr>
          <w:cantSplit/>
        </w:trPr>
        <w:tc>
          <w:tcPr>
            <w:tcW w:type="dxa" w:w="34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left"/>
            </w:pPr>
            <w:r>
              <w:rPr>
                <w:rFonts w:ascii="Calibri" w:cs="Calibri" w:eastAsia="Calibri" w:hAnsi="Calibri"/>
                <w:b/>
                <w:bCs/>
                <w:color w:val="026E81"/>
                <w:sz w:val="18"/>
                <w:szCs w:val="18"/>
              </w:rPr>
              <w:t xml:space="preserve">Camada</w:t>
            </w:r>
          </w:p>
        </w:tc>
        <w:tc>
          <w:tcPr>
            <w:tcW w:type="dxa" w:w="10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Trechos</w:t>
            </w:r>
          </w:p>
        </w:tc>
        <w:tc>
          <w:tcPr>
            <w:tcW w:type="dxa" w:w="9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Lidos</w:t>
            </w:r>
          </w:p>
        </w:tc>
        <w:tc>
          <w:tcPr>
            <w:tcW w:type="dxa" w:w="15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left"/>
            </w:pPr>
            <w:r>
              <w:rPr>
                <w:rFonts w:ascii="Calibri" w:cs="Calibri" w:eastAsia="Calibri" w:hAnsi="Calibri"/>
                <w:b/>
                <w:bCs/>
                <w:color w:val="026E81"/>
                <w:sz w:val="18"/>
                <w:szCs w:val="18"/>
              </w:rPr>
              <w:t xml:space="preserve">Regra</w:t>
            </w:r>
          </w:p>
        </w:tc>
        <w:tc>
          <w:tcPr>
            <w:tcW w:type="dxa" w:w="11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Correções</w:t>
            </w:r>
          </w:p>
        </w:tc>
        <w:tc>
          <w:tcPr>
            <w:tcW w:type="dxa" w:w="18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left"/>
            </w:pPr>
            <w:r>
              <w:rPr>
                <w:rFonts w:ascii="Calibri" w:cs="Calibri" w:eastAsia="Calibri" w:hAnsi="Calibri"/>
                <w:b/>
                <w:bCs/>
                <w:color w:val="026E81"/>
                <w:sz w:val="18"/>
                <w:szCs w:val="18"/>
              </w:rPr>
              <w:t xml:space="preserve">Erro residual (95%)</w:t>
            </w:r>
          </w:p>
        </w:tc>
      </w:tr>
      <w:tr>
        <w:trPr>
          <w:cantSplit/>
        </w:trPr>
        <w:tc>
          <w:tcPr>
            <w:tcW w:type="dxa" w:w="34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C — ambiguidade genuína e temas raros</w:t>
            </w:r>
          </w:p>
        </w:tc>
        <w:tc>
          <w:tcPr>
            <w:tcW w:type="dxa" w:w="10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81</w:t>
            </w:r>
          </w:p>
        </w:tc>
        <w:tc>
          <w:tcPr>
            <w:tcW w:type="dxa" w:w="9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81</w:t>
            </w:r>
          </w:p>
        </w:tc>
        <w:tc>
          <w:tcPr>
            <w:tcW w:type="dxa" w:w="15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censo</w:t>
            </w:r>
          </w:p>
        </w:tc>
        <w:tc>
          <w:tcPr>
            <w:tcW w:type="dxa" w:w="11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0</w:t>
            </w:r>
          </w:p>
        </w:tc>
        <w:tc>
          <w:tcPr>
            <w:tcW w:type="dxa" w:w="18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sem incerteza amostral</w:t>
            </w:r>
          </w:p>
        </w:tc>
      </w:tr>
      <w:tr>
        <w:trPr>
          <w:cantSplit/>
        </w:trPr>
        <w:tc>
          <w:tcPr>
            <w:tcW w:type="dxa" w:w="34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B — confiança baixa, adjudicado, rodada única</w:t>
            </w:r>
          </w:p>
        </w:tc>
        <w:tc>
          <w:tcPr>
            <w:tcW w:type="dxa" w:w="10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198</w:t>
            </w:r>
          </w:p>
        </w:tc>
        <w:tc>
          <w:tcPr>
            <w:tcW w:type="dxa" w:w="9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46</w:t>
            </w:r>
          </w:p>
        </w:tc>
        <w:tc>
          <w:tcPr>
            <w:tcW w:type="dxa" w:w="15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amostra 23%</w:t>
            </w:r>
          </w:p>
        </w:tc>
        <w:tc>
          <w:tcPr>
            <w:tcW w:type="dxa" w:w="11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0</w:t>
            </w:r>
          </w:p>
        </w:tc>
        <w:tc>
          <w:tcPr>
            <w:tcW w:type="dxa" w:w="18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 6,5%</w:t>
            </w:r>
          </w:p>
        </w:tc>
      </w:tr>
      <w:tr>
        <w:trPr>
          <w:cantSplit/>
        </w:trPr>
        <w:tc>
          <w:tcPr>
            <w:tcW w:type="dxa" w:w="34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A — duas rodadas concordam</w:t>
            </w:r>
          </w:p>
        </w:tc>
        <w:tc>
          <w:tcPr>
            <w:tcW w:type="dxa" w:w="10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707</w:t>
            </w:r>
          </w:p>
        </w:tc>
        <w:tc>
          <w:tcPr>
            <w:tcW w:type="dxa" w:w="9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39</w:t>
            </w:r>
          </w:p>
        </w:tc>
        <w:tc>
          <w:tcPr>
            <w:tcW w:type="dxa" w:w="15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amostra 6%</w:t>
            </w:r>
          </w:p>
        </w:tc>
        <w:tc>
          <w:tcPr>
            <w:tcW w:type="dxa" w:w="11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0</w:t>
            </w:r>
          </w:p>
        </w:tc>
        <w:tc>
          <w:tcPr>
            <w:tcW w:type="dxa" w:w="18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 7,7%</w:t>
            </w:r>
          </w:p>
        </w:tc>
      </w:tr>
      <w:tr>
        <w:trPr>
          <w:cantSplit/>
        </w:trPr>
        <w:tc>
          <w:tcPr>
            <w:tcW w:type="dxa" w:w="34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D — repetição (detecção por código)</w:t>
            </w:r>
          </w:p>
        </w:tc>
        <w:tc>
          <w:tcPr>
            <w:tcW w:type="dxa" w:w="10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252</w:t>
            </w:r>
          </w:p>
        </w:tc>
        <w:tc>
          <w:tcPr>
            <w:tcW w:type="dxa" w:w="9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0</w:t>
            </w:r>
          </w:p>
        </w:tc>
        <w:tc>
          <w:tcPr>
            <w:tcW w:type="dxa" w:w="15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conferência por código</w:t>
            </w:r>
          </w:p>
        </w:tc>
        <w:tc>
          <w:tcPr>
            <w:tcW w:type="dxa" w:w="11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0</w:t>
            </w:r>
          </w:p>
        </w:tc>
        <w:tc>
          <w:tcPr>
            <w:tcW w:type="dxa" w:w="18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252/252 verificados</w:t>
            </w:r>
          </w:p>
        </w:tc>
      </w:tr>
      <w:tr>
        <w:trPr>
          <w:cantSplit/>
        </w:trPr>
        <w:tc>
          <w:tcPr>
            <w:tcW w:type="dxa" w:w="34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left"/>
            </w:pPr>
            <w:r>
              <w:rPr>
                <w:rFonts w:ascii="Calibri" w:cs="Calibri" w:eastAsia="Calibri" w:hAnsi="Calibri"/>
                <w:b w:val="false"/>
                <w:bCs w:val="false"/>
                <w:color w:val="1E1A1B"/>
                <w:sz w:val="18"/>
                <w:szCs w:val="18"/>
              </w:rPr>
              <w:t xml:space="preserve">Total</w:t>
            </w:r>
          </w:p>
        </w:tc>
        <w:tc>
          <w:tcPr>
            <w:tcW w:type="dxa" w:w="10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1.238</w:t>
            </w:r>
          </w:p>
        </w:tc>
        <w:tc>
          <w:tcPr>
            <w:tcW w:type="dxa" w:w="9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166</w:t>
            </w:r>
          </w:p>
        </w:tc>
        <w:tc>
          <w:tcPr>
            <w:tcW w:type="dxa" w:w="15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left"/>
            </w:pPr>
            <w:r>
              <w:rPr>
                <w:rFonts w:ascii="Calibri" w:cs="Calibri" w:eastAsia="Calibri" w:hAnsi="Calibri"/>
                <w:b w:val="false"/>
                <w:bCs w:val="false"/>
                <w:color w:val="1E1A1B"/>
                <w:sz w:val="18"/>
                <w:szCs w:val="18"/>
              </w:rPr>
              <w:t xml:space="preserve"/>
            </w:r>
          </w:p>
        </w:tc>
        <w:tc>
          <w:tcPr>
            <w:tcW w:type="dxa" w:w="11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0</w:t>
            </w:r>
          </w:p>
        </w:tc>
        <w:tc>
          <w:tcPr>
            <w:tcW w:type="dxa" w:w="18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left"/>
            </w:pPr>
            <w:r>
              <w:rPr>
                <w:rFonts w:ascii="Calibri" w:cs="Calibri" w:eastAsia="Calibri" w:hAnsi="Calibri"/>
                <w:b w:val="false"/>
                <w:bCs w:val="false"/>
                <w:color w:val="1E1A1B"/>
                <w:sz w:val="18"/>
                <w:szCs w:val="18"/>
              </w:rPr>
              <w:t xml:space="preserve"/>
            </w:r>
          </w:p>
        </w:tc>
      </w:tr>
    </w:tbl>
    <w:p>
      <w:pPr>
        <w:spacing w:after="140"/>
      </w:pPr>
      <w:r>
        <w:rPr>
          <w:rFonts w:ascii="Calibri" w:cs="Calibri" w:eastAsia="Calibri" w:hAnsi="Calibri"/>
          <w:color w:val="1E1A1B"/>
          <w:sz w:val="21"/>
          <w:szCs w:val="21"/>
        </w:rPr>
        <w:t xml:space="preserve">A fila foi lida e decidida por um revisor humano em 15 de setembro de 2026, item a item, com justificativa escrita citando a regra aplicada: 166 confirmações, nenhuma reclassificação, nenhum descarte revertido. Poluição do ar e impactos do clima na saúde foram lidos integralmente; mitigação e adaptação, por amostra estratificada, com erro residual abaixo de 8% (regra de três, 95% de confiança). As 166 citações foram depois conferidas contra o texto dos PDFs originais: 166 de 166 aparecem, palavra por palavra, na página citada. Essa conferência revelou dois arquivos com caracteres invisíveis dentro das palavras — hífen suave num plano maranhense, espaço de largura zero num plano gaúcho gerado por impressão de navegador —, que a rotina de extração passou a tratar. O plano incluído em 22 de setembro passou pela mesma etapa terminal, com revisão integral de todos os seus candidatos pela coordenação.</w:t>
      </w:r>
    </w:p>
    <w:p>
      <w:pPr>
        <w:pStyle w:val="Heading2"/>
        <w:spacing w:after="100" w:before="220"/>
      </w:pPr>
      <w:r>
        <w:rPr>
          <w:rFonts w:ascii="Georgia" w:cs="Georgia" w:eastAsia="Georgia" w:hAnsi="Georgia"/>
          <w:b/>
          <w:bCs/>
          <w:color w:val="026E81"/>
          <w:sz w:val="24"/>
          <w:szCs w:val="24"/>
        </w:rPr>
        <w:t xml:space="preserve">3.6 Três achados de auditoria</w:t>
      </w:r>
    </w:p>
    <w:p>
      <w:pPr>
        <w:spacing w:after="140"/>
      </w:pPr>
      <w:r>
        <w:rPr>
          <w:rFonts w:ascii="Calibri" w:cs="Calibri" w:eastAsia="Calibri" w:hAnsi="Calibri"/>
          <w:b/>
          <w:bCs/>
          <w:color w:val="1E1A1B"/>
          <w:sz w:val="21"/>
          <w:szCs w:val="21"/>
        </w:rPr>
        <w:t xml:space="preserve">A fronteira estava mal escrita, mas a prática já a aplicava corretamente. </w:t>
      </w:r>
      <w:r>
        <w:rPr>
          <w:rFonts w:ascii="Calibri" w:cs="Calibri" w:eastAsia="Calibri" w:hAnsi="Calibri"/>
          <w:color w:val="1E1A1B"/>
          <w:sz w:val="21"/>
          <w:szCs w:val="21"/>
        </w:rPr>
        <w:t xml:space="preserve">Uma varredura do registro completo encontrou 11 trechos fora do tema de impactos na saúde com vocabulário de dano humano; cinco não eram fronteira real (saúde animal, “vítimas” em sentido patrimonial); seis eram genuinamente ambíguos sob a regra então escrita — por exemplo “reduzir perdas humanas e econômicas” em adaptação, ao lado de “perdas humanas e econômicas por desastres” em impactos na saúde. A regra de três cláusulas (3.4) resolve a inconsistência de redação sem mudar nenhuma das 20 classificações publicadas.</w:t>
      </w:r>
    </w:p>
    <w:p>
      <w:pPr>
        <w:spacing w:after="140"/>
      </w:pPr>
      <w:r>
        <w:rPr>
          <w:rFonts w:ascii="Calibri" w:cs="Calibri" w:eastAsia="Calibri" w:hAnsi="Calibri"/>
          <w:b/>
          <w:bCs/>
          <w:color w:val="1E1A1B"/>
          <w:sz w:val="21"/>
          <w:szCs w:val="21"/>
        </w:rPr>
        <w:t xml:space="preserve">A deduplicação estava certa; a documentação é que estava incompleta. </w:t>
      </w:r>
      <w:r>
        <w:rPr>
          <w:rFonts w:ascii="Calibri" w:cs="Calibri" w:eastAsia="Calibri" w:hAnsi="Calibri"/>
          <w:color w:val="1E1A1B"/>
          <w:sz w:val="21"/>
          <w:szCs w:val="21"/>
        </w:rPr>
        <w:t xml:space="preserve">Dos 252 descartes por repetição, todos os 252 têm trecho correspondente mantido: 159 por sobreposição de janela na mesma página (dois termos acertando a mesma passagem) e 93 por repetição de um bloco em outra página do mesmo plano — num caso, o mesmo parágrafo em nove páginas de um plano estadual. Nada foi perdido; a consequência prática, agora declarada ao público, é que a página indicada é onde a passagem aparece, não necessariamente a única página em que aparece.</w:t>
      </w:r>
    </w:p>
    <w:p>
      <w:pPr>
        <w:spacing w:after="140"/>
      </w:pPr>
      <w:r>
        <w:rPr>
          <w:rFonts w:ascii="Calibri" w:cs="Calibri" w:eastAsia="Calibri" w:hAnsi="Calibri"/>
          <w:b/>
          <w:bCs/>
          <w:color w:val="1E1A1B"/>
          <w:sz w:val="21"/>
          <w:szCs w:val="21"/>
        </w:rPr>
        <w:t xml:space="preserve">Contagens corrigidas em versões preliminares. </w:t>
      </w:r>
      <w:r>
        <w:rPr>
          <w:rFonts w:ascii="Calibri" w:cs="Calibri" w:eastAsia="Calibri" w:hAnsi="Calibri"/>
          <w:color w:val="1E1A1B"/>
          <w:sz w:val="21"/>
          <w:szCs w:val="21"/>
        </w:rPr>
        <w:t xml:space="preserve">Versões anteriores afirmavam três planos presidenciais sem identificação (eram dois, depois identificados por protocolo), atribuíam a diferença entre arquivos e candidaturas ao documento do PCO (a causa é a duplicata maranhense), e contavam 44 termos do dicionário sem ocorrência por critério não documentado — o critério explícito desta versão, reproduzível a partir do dicionário público, dá 39.</w:t>
      </w:r>
    </w:p>
    <w:p>
      <w:pPr>
        <w:pStyle w:val="Heading1"/>
        <w:pBdr>
          <w:bottom w:val="single" w:color="026E81" w:sz="6" w:space="4"/>
        </w:pBdr>
        <w:spacing w:after="160" w:before="320"/>
      </w:pPr>
      <w:r>
        <w:rPr>
          <w:rFonts w:ascii="Georgia" w:cs="Georgia" w:eastAsia="Georgia" w:hAnsi="Georgia"/>
          <w:b/>
          <w:bCs/>
          <w:color w:val="026E81"/>
          <w:sz w:val="30"/>
          <w:szCs w:val="30"/>
        </w:rPr>
        <w:t xml:space="preserve">4. Resultados</w:t>
      </w:r>
    </w:p>
    <w:p>
      <w:pPr>
        <w:pStyle w:val="Heading2"/>
        <w:spacing w:after="100" w:before="220"/>
      </w:pPr>
      <w:r>
        <w:rPr>
          <w:rFonts w:ascii="Georgia" w:cs="Georgia" w:eastAsia="Georgia" w:hAnsi="Georgia"/>
          <w:b/>
          <w:bCs/>
          <w:color w:val="026E81"/>
          <w:sz w:val="24"/>
          <w:szCs w:val="24"/>
        </w:rPr>
        <w:t xml:space="preserve">4.1 O corpus</w:t>
      </w:r>
    </w:p>
    <w:p>
      <w:pPr>
        <w:spacing w:after="160" w:before="80"/>
      </w:pPr>
      <w:r>
        <w:drawing>
          <wp:inline distT="0" distB="0" distL="0" distR="0">
            <wp:extent cx="4762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647825"/>
                    </a:xfrm>
                    <a:prstGeom prst="rect">
                      <a:avLst/>
                    </a:prstGeom>
                  </pic:spPr>
                </pic:pic>
              </a:graphicData>
            </a:graphic>
          </wp:inline>
        </w:drawing>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250"/>
        <w:gridCol w:w="1050"/>
        <w:gridCol w:w="1050"/>
        <w:gridCol w:w="1150"/>
        <w:gridCol w:w="1150"/>
        <w:gridCol w:w="1100"/>
      </w:tblGrid>
      <w:tr>
        <w:trPr>
          <w:cantSplit/>
        </w:trPr>
        <w:tc>
          <w:tcPr>
            <w:tcW w:type="dxa" w:w="26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left"/>
            </w:pPr>
            <w:r>
              <w:rPr>
                <w:rFonts w:ascii="Calibri" w:cs="Calibri" w:eastAsia="Calibri" w:hAnsi="Calibri"/>
                <w:b/>
                <w:bCs/>
                <w:color w:val="026E81"/>
                <w:sz w:val="18"/>
                <w:szCs w:val="18"/>
              </w:rPr>
              <w:t xml:space="preserve">Disputa</w:t>
            </w:r>
          </w:p>
        </w:tc>
        <w:tc>
          <w:tcPr>
            <w:tcW w:type="dxa" w:w="125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Candidaturas</w:t>
            </w:r>
          </w:p>
        </w:tc>
        <w:tc>
          <w:tcPr>
            <w:tcW w:type="dxa" w:w="105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Arquivos</w:t>
            </w:r>
          </w:p>
        </w:tc>
        <w:tc>
          <w:tcPr>
            <w:tcW w:type="dxa" w:w="105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Páginas</w:t>
            </w:r>
          </w:p>
        </w:tc>
        <w:tc>
          <w:tcPr>
            <w:tcW w:type="dxa" w:w="115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Menor plano</w:t>
            </w:r>
          </w:p>
        </w:tc>
        <w:tc>
          <w:tcPr>
            <w:tcW w:type="dxa" w:w="115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Maior plano</w:t>
            </w:r>
          </w:p>
        </w:tc>
        <w:tc>
          <w:tcPr>
            <w:tcW w:type="dxa" w:w="11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Média</w:t>
            </w:r>
          </w:p>
        </w:tc>
      </w:tr>
      <w:tr>
        <w:trPr>
          <w:cantSplit/>
        </w:trPr>
        <w:tc>
          <w:tcPr>
            <w:tcW w:type="dxa" w:w="2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Presidência da República</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13</w:t>
            </w:r>
          </w:p>
        </w:tc>
        <w:tc>
          <w:tcPr>
            <w:tcW w:type="dxa" w:w="10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13</w:t>
            </w:r>
          </w:p>
        </w:tc>
        <w:tc>
          <w:tcPr>
            <w:tcW w:type="dxa" w:w="10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836</w:t>
            </w:r>
          </w:p>
        </w:tc>
        <w:tc>
          <w:tcPr>
            <w:tcW w:type="dxa" w:w="11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7</w:t>
            </w:r>
          </w:p>
        </w:tc>
        <w:tc>
          <w:tcPr>
            <w:tcW w:type="dxa" w:w="11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200</w:t>
            </w:r>
          </w:p>
        </w:tc>
        <w:tc>
          <w:tcPr>
            <w:tcW w:type="dxa" w:w="11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64,3</w:t>
            </w:r>
          </w:p>
        </w:tc>
      </w:tr>
      <w:tr>
        <w:trPr>
          <w:cantSplit/>
        </w:trPr>
        <w:tc>
          <w:tcPr>
            <w:tcW w:type="dxa" w:w="2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Rio Grande do Sul</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7</w:t>
            </w:r>
          </w:p>
        </w:tc>
        <w:tc>
          <w:tcPr>
            <w:tcW w:type="dxa" w:w="10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7</w:t>
            </w:r>
          </w:p>
        </w:tc>
        <w:tc>
          <w:tcPr>
            <w:tcW w:type="dxa" w:w="10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383</w:t>
            </w:r>
          </w:p>
        </w:tc>
        <w:tc>
          <w:tcPr>
            <w:tcW w:type="dxa" w:w="11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7</w:t>
            </w:r>
          </w:p>
        </w:tc>
        <w:tc>
          <w:tcPr>
            <w:tcW w:type="dxa" w:w="11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107</w:t>
            </w:r>
          </w:p>
        </w:tc>
        <w:tc>
          <w:tcPr>
            <w:tcW w:type="dxa" w:w="11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54,7</w:t>
            </w:r>
          </w:p>
        </w:tc>
      </w:tr>
      <w:tr>
        <w:trPr>
          <w:cantSplit/>
        </w:trPr>
        <w:tc>
          <w:tcPr>
            <w:tcW w:type="dxa" w:w="2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São Paulo</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6</w:t>
            </w:r>
          </w:p>
        </w:tc>
        <w:tc>
          <w:tcPr>
            <w:tcW w:type="dxa" w:w="10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8</w:t>
            </w:r>
          </w:p>
        </w:tc>
        <w:tc>
          <w:tcPr>
            <w:tcW w:type="dxa" w:w="10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418</w:t>
            </w:r>
          </w:p>
        </w:tc>
        <w:tc>
          <w:tcPr>
            <w:tcW w:type="dxa" w:w="11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7</w:t>
            </w:r>
          </w:p>
        </w:tc>
        <w:tc>
          <w:tcPr>
            <w:tcW w:type="dxa" w:w="11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182</w:t>
            </w:r>
          </w:p>
        </w:tc>
        <w:tc>
          <w:tcPr>
            <w:tcW w:type="dxa" w:w="11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69,7</w:t>
            </w:r>
          </w:p>
        </w:tc>
      </w:tr>
      <w:tr>
        <w:trPr>
          <w:cantSplit/>
        </w:trPr>
        <w:tc>
          <w:tcPr>
            <w:tcW w:type="dxa" w:w="2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Maranhão</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8</w:t>
            </w:r>
          </w:p>
        </w:tc>
        <w:tc>
          <w:tcPr>
            <w:tcW w:type="dxa" w:w="10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9</w:t>
            </w:r>
          </w:p>
        </w:tc>
        <w:tc>
          <w:tcPr>
            <w:tcW w:type="dxa" w:w="10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682</w:t>
            </w:r>
          </w:p>
        </w:tc>
        <w:tc>
          <w:tcPr>
            <w:tcW w:type="dxa" w:w="11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7</w:t>
            </w:r>
          </w:p>
        </w:tc>
        <w:tc>
          <w:tcPr>
            <w:tcW w:type="dxa" w:w="11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290</w:t>
            </w:r>
          </w:p>
        </w:tc>
        <w:tc>
          <w:tcPr>
            <w:tcW w:type="dxa" w:w="11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85,3</w:t>
            </w:r>
          </w:p>
        </w:tc>
      </w:tr>
      <w:tr>
        <w:trPr>
          <w:cantSplit/>
        </w:trPr>
        <w:tc>
          <w:tcPr>
            <w:tcW w:type="dxa" w:w="2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left"/>
            </w:pPr>
            <w:r>
              <w:rPr>
                <w:rFonts w:ascii="Calibri" w:cs="Calibri" w:eastAsia="Calibri" w:hAnsi="Calibri"/>
                <w:b w:val="false"/>
                <w:bCs w:val="false"/>
                <w:color w:val="1E1A1B"/>
                <w:sz w:val="18"/>
                <w:szCs w:val="18"/>
              </w:rPr>
              <w:t xml:space="preserve">Total</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34</w:t>
            </w:r>
          </w:p>
        </w:tc>
        <w:tc>
          <w:tcPr>
            <w:tcW w:type="dxa" w:w="10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37</w:t>
            </w:r>
          </w:p>
        </w:tc>
        <w:tc>
          <w:tcPr>
            <w:tcW w:type="dxa" w:w="10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2.319</w:t>
            </w:r>
          </w:p>
        </w:tc>
        <w:tc>
          <w:tcPr>
            <w:tcW w:type="dxa" w:w="11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7</w:t>
            </w:r>
          </w:p>
        </w:tc>
        <w:tc>
          <w:tcPr>
            <w:tcW w:type="dxa" w:w="11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290</w:t>
            </w:r>
          </w:p>
        </w:tc>
        <w:tc>
          <w:tcPr>
            <w:tcW w:type="dxa" w:w="11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68,2</w:t>
            </w:r>
          </w:p>
        </w:tc>
      </w:tr>
    </w:tbl>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300"/>
        <w:gridCol w:w="4500"/>
      </w:tblGrid>
      <w:tr>
        <w:trPr>
          <w:cantSplit/>
        </w:trPr>
        <w:tc>
          <w:tcPr>
            <w:tcW w:type="dxa" w:w="36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left"/>
            </w:pPr>
            <w:r>
              <w:rPr>
                <w:rFonts w:ascii="Calibri" w:cs="Calibri" w:eastAsia="Calibri" w:hAnsi="Calibri"/>
                <w:b/>
                <w:bCs/>
                <w:color w:val="026E81"/>
                <w:sz w:val="18"/>
                <w:szCs w:val="18"/>
              </w:rPr>
              <w:t xml:space="preserve">Partido</w:t>
            </w:r>
          </w:p>
        </w:tc>
        <w:tc>
          <w:tcPr>
            <w:tcW w:type="dxa" w:w="13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Candidaturas</w:t>
            </w:r>
          </w:p>
        </w:tc>
        <w:tc>
          <w:tcPr>
            <w:tcW w:type="dxa" w:w="45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left"/>
            </w:pPr>
            <w:r>
              <w:rPr>
                <w:rFonts w:ascii="Calibri" w:cs="Calibri" w:eastAsia="Calibri" w:hAnsi="Calibri"/>
                <w:b/>
                <w:bCs/>
                <w:color w:val="026E81"/>
                <w:sz w:val="18"/>
                <w:szCs w:val="18"/>
              </w:rPr>
              <w:t xml:space="preserve">Disputas</w:t>
            </w:r>
          </w:p>
        </w:tc>
      </w:tr>
      <w:tr>
        <w:trPr>
          <w:cantSplit/>
        </w:trPr>
        <w:tc>
          <w:tcPr>
            <w:tcW w:type="dxa" w:w="3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PSTU</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4</w:t>
            </w:r>
          </w:p>
        </w:tc>
        <w:tc>
          <w:tcPr>
            <w:tcW w:type="dxa" w:w="45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Presidência, RS, SP, MA</w:t>
            </w:r>
          </w:p>
        </w:tc>
      </w:tr>
      <w:tr>
        <w:trPr>
          <w:cantSplit/>
        </w:trPr>
        <w:tc>
          <w:tcPr>
            <w:tcW w:type="dxa" w:w="3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PCO</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4</w:t>
            </w:r>
          </w:p>
        </w:tc>
        <w:tc>
          <w:tcPr>
            <w:tcW w:type="dxa" w:w="45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Presidência, RS, SP, MA (mesmo documento partidário nas quatro)</w:t>
            </w:r>
          </w:p>
        </w:tc>
      </w:tr>
      <w:tr>
        <w:trPr>
          <w:cantSplit/>
        </w:trPr>
        <w:tc>
          <w:tcPr>
            <w:tcW w:type="dxa" w:w="3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UP</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3</w:t>
            </w:r>
          </w:p>
        </w:tc>
        <w:tc>
          <w:tcPr>
            <w:tcW w:type="dxa" w:w="45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Presidência, RS, SP</w:t>
            </w:r>
          </w:p>
        </w:tc>
      </w:tr>
      <w:tr>
        <w:trPr>
          <w:cantSplit/>
        </w:trPr>
        <w:tc>
          <w:tcPr>
            <w:tcW w:type="dxa" w:w="3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PT</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3</w:t>
            </w:r>
          </w:p>
        </w:tc>
        <w:tc>
          <w:tcPr>
            <w:tcW w:type="dxa" w:w="45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Presidência, SP, MA</w:t>
            </w:r>
          </w:p>
        </w:tc>
      </w:tr>
      <w:tr>
        <w:trPr>
          <w:cantSplit/>
        </w:trPr>
        <w:tc>
          <w:tcPr>
            <w:tcW w:type="dxa" w:w="3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PCB</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3</w:t>
            </w:r>
          </w:p>
        </w:tc>
        <w:tc>
          <w:tcPr>
            <w:tcW w:type="dxa" w:w="45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Presidência, SP, MA</w:t>
            </w:r>
          </w:p>
        </w:tc>
      </w:tr>
      <w:tr>
        <w:trPr>
          <w:cantSplit/>
        </w:trPr>
        <w:tc>
          <w:tcPr>
            <w:tcW w:type="dxa" w:w="3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Missão, PL, PSD, MDB, PRTB</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2 cada</w:t>
            </w:r>
          </w:p>
        </w:tc>
        <w:tc>
          <w:tcPr>
            <w:tcW w:type="dxa" w:w="45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duas disputas cada</w:t>
            </w:r>
          </w:p>
        </w:tc>
      </w:tr>
      <w:tr>
        <w:trPr>
          <w:cantSplit/>
        </w:trPr>
        <w:tc>
          <w:tcPr>
            <w:tcW w:type="dxa" w:w="3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Novo, Democrata, PSDB, PDT, Republicanos, Avante, DC</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 cada</w:t>
            </w:r>
          </w:p>
        </w:tc>
        <w:tc>
          <w:tcPr>
            <w:tcW w:type="dxa" w:w="45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uma disputa cada</w:t>
            </w:r>
          </w:p>
        </w:tc>
      </w:tr>
      <w:tr>
        <w:trPr>
          <w:cantSplit/>
        </w:trPr>
        <w:tc>
          <w:tcPr>
            <w:tcW w:type="dxa" w:w="3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left"/>
            </w:pPr>
            <w:r>
              <w:rPr>
                <w:rFonts w:ascii="Calibri" w:cs="Calibri" w:eastAsia="Calibri" w:hAnsi="Calibri"/>
                <w:b w:val="false"/>
                <w:bCs w:val="false"/>
                <w:color w:val="1E1A1B"/>
                <w:sz w:val="18"/>
                <w:szCs w:val="18"/>
              </w:rPr>
              <w:t xml:space="preserve">Total</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34</w:t>
            </w:r>
          </w:p>
        </w:tc>
        <w:tc>
          <w:tcPr>
            <w:tcW w:type="dxa" w:w="45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left"/>
            </w:pPr>
            <w:r>
              <w:rPr>
                <w:rFonts w:ascii="Calibri" w:cs="Calibri" w:eastAsia="Calibri" w:hAnsi="Calibri"/>
                <w:b w:val="false"/>
                <w:bCs w:val="false"/>
                <w:color w:val="1E1A1B"/>
                <w:sz w:val="18"/>
                <w:szCs w:val="18"/>
              </w:rPr>
              <w:t xml:space="preserve"/>
            </w:r>
          </w:p>
        </w:tc>
      </w:tr>
    </w:tbl>
    <w:p>
      <w:pPr>
        <w:pStyle w:val="Heading2"/>
        <w:spacing w:after="100" w:before="220"/>
      </w:pPr>
      <w:r>
        <w:rPr>
          <w:rFonts w:ascii="Georgia" w:cs="Georgia" w:eastAsia="Georgia" w:hAnsi="Georgia"/>
          <w:b/>
          <w:bCs/>
          <w:color w:val="026E81"/>
          <w:sz w:val="24"/>
          <w:szCs w:val="24"/>
        </w:rPr>
        <w:t xml:space="preserve">4.2 O registro</w:t>
      </w:r>
    </w:p>
    <w:p>
      <w:pPr>
        <w:spacing w:after="140"/>
      </w:pPr>
      <w:r>
        <w:rPr>
          <w:rFonts w:ascii="Calibri" w:cs="Calibri" w:eastAsia="Calibri" w:hAnsi="Calibri"/>
          <w:color w:val="1E1A1B"/>
          <w:sz w:val="21"/>
          <w:szCs w:val="21"/>
        </w:rPr>
        <w:t xml:space="preserve">O registro tem 825 trechos nos quatro temas, cada um com página e citação literal. Vinte e sete dos 34 planos tocam ao menos um tema; sete não tocam nenhum — dois na Presidência, um no Rio Grande do Sul, um em São Paulo, três no Maranhão. Quatro planos tocam os quatro: PSD e UP na Presidência, PCB em São Paulo, PSTU no Maranhão.</w:t>
      </w:r>
    </w:p>
    <w:p>
      <w:pPr>
        <w:spacing w:after="160" w:before="80"/>
      </w:pPr>
      <w:r>
        <w:drawing>
          <wp:inline distT="0" distB="0" distL="0" distR="0">
            <wp:extent cx="4762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590675"/>
                    </a:xfrm>
                    <a:prstGeom prst="rect">
                      <a:avLst/>
                    </a:prstGeom>
                  </pic:spPr>
                </pic:pic>
              </a:graphicData>
            </a:graphic>
          </wp:inline>
        </w:drawing>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200"/>
        <w:gridCol w:w="2300"/>
        <w:gridCol w:w="2300"/>
      </w:tblGrid>
      <w:tr>
        <w:trPr>
          <w:cantSplit/>
        </w:trPr>
        <w:tc>
          <w:tcPr>
            <w:tcW w:type="dxa" w:w="36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left"/>
            </w:pPr>
            <w:r>
              <w:rPr>
                <w:rFonts w:ascii="Calibri" w:cs="Calibri" w:eastAsia="Calibri" w:hAnsi="Calibri"/>
                <w:b/>
                <w:bCs/>
                <w:color w:val="026E81"/>
                <w:sz w:val="18"/>
                <w:szCs w:val="18"/>
              </w:rPr>
              <w:t xml:space="preserve">Tema</w:t>
            </w:r>
          </w:p>
        </w:tc>
        <w:tc>
          <w:tcPr>
            <w:tcW w:type="dxa" w:w="12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Trechos</w:t>
            </w:r>
          </w:p>
        </w:tc>
        <w:tc>
          <w:tcPr>
            <w:tcW w:type="dxa" w:w="23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Planos com menção</w:t>
            </w:r>
          </w:p>
        </w:tc>
        <w:tc>
          <w:tcPr>
            <w:tcW w:type="dxa" w:w="23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Planos sem menção</w:t>
            </w:r>
          </w:p>
        </w:tc>
      </w:tr>
      <w:tr>
        <w:trPr>
          <w:cantSplit/>
        </w:trPr>
        <w:tc>
          <w:tcPr>
            <w:tcW w:type="dxa" w:w="3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Adaptação e eventos extremos</w:t>
            </w:r>
          </w:p>
        </w:tc>
        <w:tc>
          <w:tcPr>
            <w:tcW w:type="dxa" w:w="1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559</w:t>
            </w:r>
          </w:p>
        </w:tc>
        <w:tc>
          <w:tcPr>
            <w:tcW w:type="dxa" w:w="2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27</w:t>
            </w:r>
          </w:p>
        </w:tc>
        <w:tc>
          <w:tcPr>
            <w:tcW w:type="dxa" w:w="2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7</w:t>
            </w:r>
          </w:p>
        </w:tc>
      </w:tr>
      <w:tr>
        <w:trPr>
          <w:cantSplit/>
        </w:trPr>
        <w:tc>
          <w:tcPr>
            <w:tcW w:type="dxa" w:w="3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Mitigação climática</w:t>
            </w:r>
          </w:p>
        </w:tc>
        <w:tc>
          <w:tcPr>
            <w:tcW w:type="dxa" w:w="1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230</w:t>
            </w:r>
          </w:p>
        </w:tc>
        <w:tc>
          <w:tcPr>
            <w:tcW w:type="dxa" w:w="2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25</w:t>
            </w:r>
          </w:p>
        </w:tc>
        <w:tc>
          <w:tcPr>
            <w:tcW w:type="dxa" w:w="2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9</w:t>
            </w:r>
          </w:p>
        </w:tc>
      </w:tr>
      <w:tr>
        <w:trPr>
          <w:cantSplit/>
        </w:trPr>
        <w:tc>
          <w:tcPr>
            <w:tcW w:type="dxa" w:w="3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Impactos do clima na saúde</w:t>
            </w:r>
          </w:p>
        </w:tc>
        <w:tc>
          <w:tcPr>
            <w:tcW w:type="dxa" w:w="1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20</w:t>
            </w:r>
          </w:p>
        </w:tc>
        <w:tc>
          <w:tcPr>
            <w:tcW w:type="dxa" w:w="2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9</w:t>
            </w:r>
          </w:p>
        </w:tc>
        <w:tc>
          <w:tcPr>
            <w:tcW w:type="dxa" w:w="2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25</w:t>
            </w:r>
          </w:p>
        </w:tc>
      </w:tr>
      <w:tr>
        <w:trPr>
          <w:cantSplit/>
        </w:trPr>
        <w:tc>
          <w:tcPr>
            <w:tcW w:type="dxa" w:w="3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Poluição do ar</w:t>
            </w:r>
          </w:p>
        </w:tc>
        <w:tc>
          <w:tcPr>
            <w:tcW w:type="dxa" w:w="1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16</w:t>
            </w:r>
          </w:p>
        </w:tc>
        <w:tc>
          <w:tcPr>
            <w:tcW w:type="dxa" w:w="2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7</w:t>
            </w:r>
          </w:p>
        </w:tc>
        <w:tc>
          <w:tcPr>
            <w:tcW w:type="dxa" w:w="2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27</w:t>
            </w:r>
          </w:p>
        </w:tc>
      </w:tr>
      <w:tr>
        <w:trPr>
          <w:cantSplit/>
        </w:trPr>
        <w:tc>
          <w:tcPr>
            <w:tcW w:type="dxa" w:w="3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left"/>
            </w:pPr>
            <w:r>
              <w:rPr>
                <w:rFonts w:ascii="Calibri" w:cs="Calibri" w:eastAsia="Calibri" w:hAnsi="Calibri"/>
                <w:b w:val="false"/>
                <w:bCs w:val="false"/>
                <w:color w:val="1E1A1B"/>
                <w:sz w:val="18"/>
                <w:szCs w:val="18"/>
              </w:rPr>
              <w:t xml:space="preserve">Total</w:t>
            </w:r>
          </w:p>
        </w:tc>
        <w:tc>
          <w:tcPr>
            <w:tcW w:type="dxa" w:w="1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825</w:t>
            </w:r>
          </w:p>
        </w:tc>
        <w:tc>
          <w:tcPr>
            <w:tcW w:type="dxa" w:w="2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
            </w:r>
          </w:p>
        </w:tc>
        <w:tc>
          <w:tcPr>
            <w:tcW w:type="dxa" w:w="2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
            </w:r>
          </w:p>
        </w:tc>
      </w:tr>
    </w:tbl>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100"/>
        <w:gridCol w:w="1250"/>
        <w:gridCol w:w="1250"/>
        <w:gridCol w:w="1450"/>
        <w:gridCol w:w="1250"/>
        <w:gridCol w:w="1300"/>
      </w:tblGrid>
      <w:tr>
        <w:trPr>
          <w:cantSplit/>
        </w:trPr>
        <w:tc>
          <w:tcPr>
            <w:tcW w:type="dxa" w:w="22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left"/>
            </w:pPr>
            <w:r>
              <w:rPr>
                <w:rFonts w:ascii="Calibri" w:cs="Calibri" w:eastAsia="Calibri" w:hAnsi="Calibri"/>
                <w:b/>
                <w:bCs/>
                <w:color w:val="026E81"/>
                <w:sz w:val="18"/>
                <w:szCs w:val="18"/>
              </w:rPr>
              <w:t xml:space="preserve">Disputa</w:t>
            </w:r>
          </w:p>
        </w:tc>
        <w:tc>
          <w:tcPr>
            <w:tcW w:type="dxa" w:w="11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Trechos</w:t>
            </w:r>
          </w:p>
        </w:tc>
        <w:tc>
          <w:tcPr>
            <w:tcW w:type="dxa" w:w="125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Adaptação</w:t>
            </w:r>
          </w:p>
        </w:tc>
        <w:tc>
          <w:tcPr>
            <w:tcW w:type="dxa" w:w="125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Mitigação</w:t>
            </w:r>
          </w:p>
        </w:tc>
        <w:tc>
          <w:tcPr>
            <w:tcW w:type="dxa" w:w="145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Impactos na saúde</w:t>
            </w:r>
          </w:p>
        </w:tc>
        <w:tc>
          <w:tcPr>
            <w:tcW w:type="dxa" w:w="125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Poluição do ar</w:t>
            </w:r>
          </w:p>
        </w:tc>
        <w:tc>
          <w:tcPr>
            <w:tcW w:type="dxa" w:w="13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Planos sem menção</w:t>
            </w:r>
          </w:p>
        </w:tc>
      </w:tr>
      <w:tr>
        <w:trPr>
          <w:cantSplit/>
        </w:trPr>
        <w:tc>
          <w:tcPr>
            <w:tcW w:type="dxa" w:w="2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Presidência</w:t>
            </w:r>
          </w:p>
        </w:tc>
        <w:tc>
          <w:tcPr>
            <w:tcW w:type="dxa" w:w="11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218</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107</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98</w:t>
            </w:r>
          </w:p>
        </w:tc>
        <w:tc>
          <w:tcPr>
            <w:tcW w:type="dxa" w:w="14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7</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6</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2</w:t>
            </w:r>
          </w:p>
        </w:tc>
      </w:tr>
      <w:tr>
        <w:trPr>
          <w:cantSplit/>
        </w:trPr>
        <w:tc>
          <w:tcPr>
            <w:tcW w:type="dxa" w:w="2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Rio Grande do Sul</w:t>
            </w:r>
          </w:p>
        </w:tc>
        <w:tc>
          <w:tcPr>
            <w:tcW w:type="dxa" w:w="11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389</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325</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56</w:t>
            </w:r>
          </w:p>
        </w:tc>
        <w:tc>
          <w:tcPr>
            <w:tcW w:type="dxa" w:w="14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7</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w:t>
            </w:r>
          </w:p>
        </w:tc>
      </w:tr>
      <w:tr>
        <w:trPr>
          <w:cantSplit/>
        </w:trPr>
        <w:tc>
          <w:tcPr>
            <w:tcW w:type="dxa" w:w="2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São Paulo</w:t>
            </w:r>
          </w:p>
        </w:tc>
        <w:tc>
          <w:tcPr>
            <w:tcW w:type="dxa" w:w="11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114</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75</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34</w:t>
            </w:r>
          </w:p>
        </w:tc>
        <w:tc>
          <w:tcPr>
            <w:tcW w:type="dxa" w:w="14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4</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w:t>
            </w:r>
          </w:p>
        </w:tc>
      </w:tr>
      <w:tr>
        <w:trPr>
          <w:cantSplit/>
        </w:trPr>
        <w:tc>
          <w:tcPr>
            <w:tcW w:type="dxa" w:w="2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Maranhão</w:t>
            </w:r>
          </w:p>
        </w:tc>
        <w:tc>
          <w:tcPr>
            <w:tcW w:type="dxa" w:w="11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104</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52</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42</w:t>
            </w:r>
          </w:p>
        </w:tc>
        <w:tc>
          <w:tcPr>
            <w:tcW w:type="dxa" w:w="14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5</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5</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3</w:t>
            </w:r>
          </w:p>
        </w:tc>
      </w:tr>
      <w:tr>
        <w:trPr>
          <w:cantSplit/>
        </w:trPr>
        <w:tc>
          <w:tcPr>
            <w:tcW w:type="dxa" w:w="2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left"/>
            </w:pPr>
            <w:r>
              <w:rPr>
                <w:rFonts w:ascii="Calibri" w:cs="Calibri" w:eastAsia="Calibri" w:hAnsi="Calibri"/>
                <w:b w:val="false"/>
                <w:bCs w:val="false"/>
                <w:color w:val="1E1A1B"/>
                <w:sz w:val="18"/>
                <w:szCs w:val="18"/>
              </w:rPr>
              <w:t xml:space="preserve">Total</w:t>
            </w:r>
          </w:p>
        </w:tc>
        <w:tc>
          <w:tcPr>
            <w:tcW w:type="dxa" w:w="11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825</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559</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230</w:t>
            </w:r>
          </w:p>
        </w:tc>
        <w:tc>
          <w:tcPr>
            <w:tcW w:type="dxa" w:w="14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20</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16</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7</w:t>
            </w:r>
          </w:p>
        </w:tc>
      </w:tr>
    </w:tbl>
    <w:p>
      <w:pPr>
        <w:spacing w:after="140"/>
      </w:pPr>
      <w:r>
        <w:rPr>
          <w:rFonts w:ascii="Calibri" w:cs="Calibri" w:eastAsia="Calibri" w:hAnsi="Calibri"/>
          <w:color w:val="1E1A1B"/>
          <w:sz w:val="21"/>
          <w:szCs w:val="21"/>
        </w:rPr>
        <w:t xml:space="preserve">Adaptação aparece em todo plano que fala de clima; mitigação vem depois, e sempre dentro de planos que já tratam de adaptação — não há plano com mitigação sem adaptação. Poluição do ar e impactos do clima na saúde quase não entram: 16 e 20 trechos, em 7 e 9 planos. O Rio Grande do Sul concentra a adaptação, com 325 trechos, quase todos ligados às enchentes de 2024. Dos 825 trechos, 469 são propostas, 255 diagnósticos e 101 menções incidentais; sete trazem meta quantificada; 36 trazem orçamento, concentrados na reconstrução gaúcha e em fundos climáticos federais. Trinta e nove dos 190 termos do dicionário — entre eles material particulado, MP2,5 e poluentes climáticos de vida curta — não aparecem em nenhuma das 2.319 páginas.</w:t>
      </w:r>
    </w:p>
    <w:p>
      <w:pPr>
        <w:pStyle w:val="Heading1"/>
        <w:pBdr>
          <w:bottom w:val="single" w:color="026E81" w:sz="6" w:space="4"/>
        </w:pBdr>
        <w:spacing w:after="160" w:before="320"/>
      </w:pPr>
      <w:r>
        <w:rPr>
          <w:rFonts w:ascii="Georgia" w:cs="Georgia" w:eastAsia="Georgia" w:hAnsi="Georgia"/>
          <w:b/>
          <w:bCs/>
          <w:color w:val="026E81"/>
          <w:sz w:val="30"/>
          <w:szCs w:val="30"/>
        </w:rPr>
        <w:t xml:space="preserve">5. Limites declarados por método</w:t>
      </w:r>
    </w:p>
    <w:p>
      <w:pPr>
        <w:pStyle w:val="ListParagraph"/>
        <w:numPr>
          <w:ilvl w:val="0"/>
          <w:numId w:val="1"/>
        </w:numPr>
        <w:spacing w:after="90"/>
      </w:pPr>
      <w:r>
        <w:rPr>
          <w:rFonts w:ascii="Calibri" w:cs="Calibri" w:eastAsia="Calibri" w:hAnsi="Calibri"/>
          <w:color w:val="1E1A1B"/>
          <w:sz w:val="21"/>
          <w:szCs w:val="21"/>
        </w:rPr>
        <w:t xml:space="preserve">Um único revisor humano. É a validação item a item que o manual exige, com justificativa escrita: 166 de 166 confirmados. Com concordância de 100% de um único leitor não se calcula coeficiente de confiabilidade entre codificadores (uma das distribuições fica degenerada); o que se publica é a concordância bruta e a cobertura da leitura. A checagem cega por segundo codificador — 60 itens sorteados entre os 166 detectam uma taxa real de discordância de 5% com 95% de probabilidade — permanece como recomendação.</w:t>
      </w:r>
    </w:p>
    <w:p>
      <w:pPr>
        <w:pStyle w:val="ListParagraph"/>
        <w:numPr>
          <w:ilvl w:val="0"/>
          <w:numId w:val="1"/>
        </w:numPr>
        <w:spacing w:after="90"/>
      </w:pPr>
      <w:r>
        <w:rPr>
          <w:rFonts w:ascii="Calibri" w:cs="Calibri" w:eastAsia="Calibri" w:hAnsi="Calibri"/>
          <w:color w:val="1E1A1B"/>
          <w:sz w:val="21"/>
          <w:szCs w:val="21"/>
        </w:rPr>
        <w:t xml:space="preserve">Mesmo manual usado para classificar e para revisar. Desenho adequado para medir consistência entre rodadas, insuficiente para descobrir sozinho que uma regra está mal redigida — foi uma auditoria separada da redação que encontrou o primeiro achado.</w:t>
      </w:r>
    </w:p>
    <w:p>
      <w:pPr>
        <w:pStyle w:val="ListParagraph"/>
        <w:numPr>
          <w:ilvl w:val="0"/>
          <w:numId w:val="1"/>
        </w:numPr>
        <w:spacing w:after="90"/>
      </w:pPr>
      <w:r>
        <w:rPr>
          <w:rFonts w:ascii="Calibri" w:cs="Calibri" w:eastAsia="Calibri" w:hAnsi="Calibri"/>
          <w:color w:val="1E1A1B"/>
          <w:sz w:val="21"/>
          <w:szCs w:val="21"/>
        </w:rPr>
        <w:t xml:space="preserve">Cobertura da leitura humana não uniforme entre planos. Os 33 planos da coleta original foram revisados por fila estratificada — temas raros e ambiguidades por inteiro, o restante por amostra, com erro residual estimado, não eliminado. O plano incluído em 22/09 teve todos os seus candidatos revisados pela coordenação.</w:t>
      </w:r>
    </w:p>
    <w:p>
      <w:pPr>
        <w:pStyle w:val="ListParagraph"/>
        <w:numPr>
          <w:ilvl w:val="0"/>
          <w:numId w:val="1"/>
        </w:numPr>
        <w:spacing w:after="90"/>
      </w:pPr>
      <w:r>
        <w:rPr>
          <w:rFonts w:ascii="Calibri" w:cs="Calibri" w:eastAsia="Calibri" w:hAnsi="Calibri"/>
          <w:color w:val="1E1A1B"/>
          <w:sz w:val="21"/>
          <w:szCs w:val="21"/>
        </w:rPr>
        <w:t xml:space="preserve">Cobertura do dicionário medida, não perfeita: recall de 93% no teste de padrão-ouro. Uma fração pequena de conteúdo relevante, escrito de forma que o vocabulário ainda não prevê, pode ficar de fora sem aparecer como ausência declarada.</w:t>
      </w:r>
    </w:p>
    <w:p>
      <w:pPr>
        <w:pStyle w:val="ListParagraph"/>
        <w:numPr>
          <w:ilvl w:val="0"/>
          <w:numId w:val="1"/>
        </w:numPr>
        <w:spacing w:after="90"/>
      </w:pPr>
      <w:r>
        <w:rPr>
          <w:rFonts w:ascii="Calibri" w:cs="Calibri" w:eastAsia="Calibri" w:hAnsi="Calibri"/>
          <w:color w:val="1E1A1B"/>
          <w:sz w:val="21"/>
          <w:szCs w:val="21"/>
        </w:rPr>
        <w:t xml:space="preserve">A página indicada é onde a passagem aparece, não necessariamente a única em que aparece (achado 2).</w:t>
      </w:r>
    </w:p>
    <w:p>
      <w:pPr>
        <w:pStyle w:val="ListParagraph"/>
        <w:numPr>
          <w:ilvl w:val="0"/>
          <w:numId w:val="1"/>
        </w:numPr>
        <w:spacing w:after="90"/>
      </w:pPr>
      <w:r>
        <w:rPr>
          <w:rFonts w:ascii="Calibri" w:cs="Calibri" w:eastAsia="Calibri" w:hAnsi="Calibri"/>
          <w:color w:val="1E1A1B"/>
          <w:sz w:val="21"/>
          <w:szCs w:val="21"/>
        </w:rPr>
        <w:t xml:space="preserve">Natureza é o atributo mais frágil (93% de concordância entre rodadas), principalmente na fronteira entre proposta e incidental.</w:t>
      </w:r>
    </w:p>
    <w:p>
      <w:pPr>
        <w:pStyle w:val="Heading1"/>
        <w:pBdr>
          <w:bottom w:val="single" w:color="026E81" w:sz="6" w:space="4"/>
        </w:pBdr>
        <w:spacing w:after="160" w:before="320"/>
      </w:pPr>
      <w:r>
        <w:rPr>
          <w:rFonts w:ascii="Georgia" w:cs="Georgia" w:eastAsia="Georgia" w:hAnsi="Georgia"/>
          <w:b/>
          <w:bCs/>
          <w:color w:val="026E81"/>
          <w:sz w:val="30"/>
          <w:szCs w:val="30"/>
        </w:rPr>
        <w:t xml:space="preserve">6. Por que não há nota, ranking ou comparação de mérito</w:t>
      </w:r>
    </w:p>
    <w:p>
      <w:pPr>
        <w:spacing w:after="140"/>
      </w:pPr>
      <w:r>
        <w:rPr>
          <w:rFonts w:ascii="Calibri" w:cs="Calibri" w:eastAsia="Calibri" w:hAnsi="Calibri"/>
          <w:color w:val="1E1A1B"/>
          <w:sz w:val="21"/>
          <w:szCs w:val="21"/>
        </w:rPr>
        <w:t xml:space="preserve">Extensão e densidade textual não medem prioridade política: o plano mais longo do corpus, com 290 páginas, tem 46 trechos; um plano gaúcho de 38 páginas tem 65. Uma nota ou um ranking converteria essa diferença de volume em julgamento de mérito, o que a metodologia rejeita por desenho — o objeto do registro é o texto do plano, não uma avaliação do candidato. Presidência e governos estaduais têm competências diferentes, e os quatro segmentos são apresentados separadamente. Essa escolha separa o projeto das tradições revisadas na seção 2 e sustenta o enquadramento eleitoral tratado na Nota de defeso.</w:t>
      </w:r>
    </w:p>
    <w:p>
      <w:pPr>
        <w:pStyle w:val="Heading1"/>
        <w:pBdr>
          <w:bottom w:val="single" w:color="026E81" w:sz="6" w:space="4"/>
        </w:pBdr>
        <w:spacing w:after="160" w:before="320"/>
      </w:pPr>
      <w:r>
        <w:rPr>
          <w:rFonts w:ascii="Georgia" w:cs="Georgia" w:eastAsia="Georgia" w:hAnsi="Georgia"/>
          <w:b/>
          <w:bCs/>
          <w:color w:val="026E81"/>
          <w:sz w:val="30"/>
          <w:szCs w:val="30"/>
        </w:rPr>
        <w:t xml:space="preserve">7. Reprodutibilidade</w:t>
      </w:r>
    </w:p>
    <w:p>
      <w:pPr>
        <w:spacing w:after="140"/>
      </w:pPr>
      <w:r>
        <w:rPr>
          <w:rFonts w:ascii="Calibri" w:cs="Calibri" w:eastAsia="Calibri" w:hAnsi="Calibri"/>
          <w:color w:val="1E1A1B"/>
          <w:sz w:val="21"/>
          <w:szCs w:val="21"/>
        </w:rPr>
        <w:t xml:space="preserve">Um pesquisador externo, com o corpus (manifesto com SHA-256 de cada PDF), o dicionário público e versionado, o manual de codificação e os scripts de varredura e extração, deve poder reproduzir o registro. Acompanham este documento: o manifesto do corpus de 22/09/2026 (37 arquivos, hashes, páginas), o registro do plano incluído por emenda, a lista dos 39 termos sem ocorrência com o critério de contagem, e a base de dados tabular que alimenta o site. O manual de codificação e o changelog do dicionário acompanham cada versão.</w:t>
      </w:r>
    </w:p>
    <w:p>
      <w:pPr>
        <w:pStyle w:val="Heading1"/>
        <w:pBdr>
          <w:bottom w:val="single" w:color="026E81" w:sz="6" w:space="4"/>
        </w:pBdr>
        <w:spacing w:after="160" w:before="320"/>
      </w:pPr>
      <w:r>
        <w:rPr>
          <w:rFonts w:ascii="Georgia" w:cs="Georgia" w:eastAsia="Georgia" w:hAnsi="Georgia"/>
          <w:b/>
          <w:bCs/>
          <w:color w:val="026E81"/>
          <w:sz w:val="30"/>
          <w:szCs w:val="30"/>
        </w:rPr>
        <w:t xml:space="preserve">8. Fontes</w:t>
      </w:r>
    </w:p>
    <w:p>
      <w:pPr>
        <w:pStyle w:val="Heading2"/>
        <w:spacing w:after="100" w:before="220"/>
      </w:pPr>
      <w:r>
        <w:rPr>
          <w:rFonts w:ascii="Georgia" w:cs="Georgia" w:eastAsia="Georgia" w:hAnsi="Georgia"/>
          <w:b/>
          <w:bCs/>
          <w:color w:val="026E81"/>
          <w:sz w:val="24"/>
          <w:szCs w:val="24"/>
        </w:rPr>
        <w:t xml:space="preserve">Vocabulário legal e técnico brasileiro</w:t>
      </w:r>
    </w:p>
    <w:p>
      <w:pPr>
        <w:pStyle w:val="ListParagraph"/>
        <w:numPr>
          <w:ilvl w:val="0"/>
          <w:numId w:val="1"/>
        </w:numPr>
        <w:spacing w:after="90"/>
      </w:pPr>
      <w:r>
        <w:rPr>
          <w:rFonts w:ascii="Calibri" w:cs="Calibri" w:eastAsia="Calibri" w:hAnsi="Calibri"/>
          <w:color w:val="1E1A1B"/>
          <w:sz w:val="21"/>
          <w:szCs w:val="21"/>
        </w:rPr>
        <w:t xml:space="preserve">Lei nº 14.850/2024 — Política Nacional de Qualidade do Ar (definições do art. 2º; Sistema Nacional de Gestão da Qualidade do Ar, MonitorAr, art. 17).</w:t>
      </w:r>
    </w:p>
    <w:p>
      <w:pPr>
        <w:pStyle w:val="ListParagraph"/>
        <w:numPr>
          <w:ilvl w:val="0"/>
          <w:numId w:val="1"/>
        </w:numPr>
        <w:spacing w:after="90"/>
      </w:pPr>
      <w:r>
        <w:rPr>
          <w:rFonts w:ascii="Calibri" w:cs="Calibri" w:eastAsia="Calibri" w:hAnsi="Calibri"/>
          <w:color w:val="1E1A1B"/>
          <w:sz w:val="21"/>
          <w:szCs w:val="21"/>
        </w:rPr>
        <w:t xml:space="preserve">Resolução Conama nº 506/2024 — padrões de qualidade do ar; lista e nomenclatura oficial de poluentes; padrões intermediários e final.</w:t>
      </w:r>
    </w:p>
    <w:p>
      <w:pPr>
        <w:pStyle w:val="ListParagraph"/>
        <w:numPr>
          <w:ilvl w:val="0"/>
          <w:numId w:val="1"/>
        </w:numPr>
        <w:spacing w:after="90"/>
      </w:pPr>
      <w:r>
        <w:rPr>
          <w:rFonts w:ascii="Calibri" w:cs="Calibri" w:eastAsia="Calibri" w:hAnsi="Calibri"/>
          <w:color w:val="1E1A1B"/>
          <w:sz w:val="21"/>
          <w:szCs w:val="21"/>
        </w:rPr>
        <w:t xml:space="preserve">Contribuição Nacionalmente Determinada do Brasil ao Acordo de Paris (NDC, novembro de 2024).</w:t>
      </w:r>
    </w:p>
    <w:p>
      <w:pPr>
        <w:pStyle w:val="ListParagraph"/>
        <w:numPr>
          <w:ilvl w:val="0"/>
          <w:numId w:val="1"/>
        </w:numPr>
        <w:spacing w:after="90"/>
      </w:pPr>
      <w:r>
        <w:rPr>
          <w:rFonts w:ascii="Calibri" w:cs="Calibri" w:eastAsia="Calibri" w:hAnsi="Calibri"/>
          <w:color w:val="1E1A1B"/>
          <w:sz w:val="21"/>
          <w:szCs w:val="21"/>
        </w:rPr>
        <w:t xml:space="preserve">Plano Clima e Plano Setorial de Saúde (AdaptaSUS); VigiAR, VIGIDESASTRES, VIGIAGUA.</w:t>
      </w:r>
    </w:p>
    <w:p>
      <w:pPr>
        <w:pStyle w:val="ListParagraph"/>
        <w:numPr>
          <w:ilvl w:val="0"/>
          <w:numId w:val="1"/>
        </w:numPr>
        <w:spacing w:after="90"/>
      </w:pPr>
      <w:r>
        <w:rPr>
          <w:rFonts w:ascii="Calibri" w:cs="Calibri" w:eastAsia="Calibri" w:hAnsi="Calibri"/>
          <w:color w:val="1E1A1B"/>
          <w:sz w:val="21"/>
          <w:szCs w:val="21"/>
        </w:rPr>
        <w:t xml:space="preserve">DeCS — Descritores em Ciências da Saúde (BIREME/OPAS): Poluentes Atmosféricos (id 396), Poluição do Ar (id 400), Material Particulado (id 52409), Mudança Climática (id 16303), entre outros.</w:t>
      </w:r>
    </w:p>
    <w:p>
      <w:pPr>
        <w:pStyle w:val="Heading2"/>
        <w:spacing w:after="100" w:before="220"/>
      </w:pPr>
      <w:r>
        <w:rPr>
          <w:rFonts w:ascii="Georgia" w:cs="Georgia" w:eastAsia="Georgia" w:hAnsi="Georgia"/>
          <w:b/>
          <w:bCs/>
          <w:color w:val="026E81"/>
          <w:sz w:val="24"/>
          <w:szCs w:val="24"/>
        </w:rPr>
        <w:t xml:space="preserve">Referências internacionais</w:t>
      </w:r>
    </w:p>
    <w:p>
      <w:pPr>
        <w:pStyle w:val="ListParagraph"/>
        <w:numPr>
          <w:ilvl w:val="0"/>
          <w:numId w:val="1"/>
        </w:numPr>
        <w:spacing w:after="90"/>
      </w:pPr>
      <w:r>
        <w:rPr>
          <w:rFonts w:ascii="Calibri" w:cs="Calibri" w:eastAsia="Calibri" w:hAnsi="Calibri"/>
          <w:color w:val="1E1A1B"/>
          <w:sz w:val="21"/>
          <w:szCs w:val="21"/>
        </w:rPr>
        <w:t xml:space="preserve">Organização Mundial da Saúde — Diretrizes Globais de Qualidade do Ar (2021; edição OPAS em português); 2023 review of health in NDCs and long-term strategies; Quality criteria for integrating health into NDCs (2025).</w:t>
      </w:r>
    </w:p>
    <w:p>
      <w:pPr>
        <w:pStyle w:val="ListParagraph"/>
        <w:numPr>
          <w:ilvl w:val="0"/>
          <w:numId w:val="1"/>
        </w:numPr>
        <w:spacing w:after="90"/>
      </w:pPr>
      <w:r>
        <w:rPr>
          <w:rFonts w:ascii="Calibri" w:cs="Calibri" w:eastAsia="Calibri" w:hAnsi="Calibri"/>
          <w:color w:val="1E1A1B"/>
          <w:sz w:val="21"/>
          <w:szCs w:val="21"/>
        </w:rPr>
        <w:t xml:space="preserve">Global Climate and Health Alliance — Healthy NDC Scorecards (2021, 2023); Clean Air NDC Scorecard (2023); avaliação das NDCs 3.0 (2025).</w:t>
      </w:r>
    </w:p>
    <w:p>
      <w:pPr>
        <w:pStyle w:val="ListParagraph"/>
        <w:numPr>
          <w:ilvl w:val="0"/>
          <w:numId w:val="1"/>
        </w:numPr>
        <w:spacing w:after="90"/>
      </w:pPr>
      <w:r>
        <w:rPr>
          <w:rFonts w:ascii="Calibri" w:cs="Calibri" w:eastAsia="Calibri" w:hAnsi="Calibri"/>
          <w:color w:val="1E1A1B"/>
          <w:sz w:val="21"/>
          <w:szCs w:val="21"/>
        </w:rPr>
        <w:t xml:space="preserve">Lancet Countdown — indicadores de engajamento público e político (5.1, 5.4); edição América do Sul (Hartinger et al., 2024).</w:t>
      </w:r>
    </w:p>
    <w:p>
      <w:pPr>
        <w:pStyle w:val="ListParagraph"/>
        <w:numPr>
          <w:ilvl w:val="0"/>
          <w:numId w:val="1"/>
        </w:numPr>
        <w:spacing w:after="90"/>
      </w:pPr>
      <w:r>
        <w:rPr>
          <w:rFonts w:ascii="Calibri" w:cs="Calibri" w:eastAsia="Calibri" w:hAnsi="Calibri"/>
          <w:color w:val="1E1A1B"/>
          <w:sz w:val="21"/>
          <w:szCs w:val="21"/>
        </w:rPr>
        <w:t xml:space="preserve">Climate Policy Radar / Climate Change Laws of the World (Grantham LSE, Sabin Columbia) — taxonomias por conceito, versionadas, com changelog.</w:t>
      </w:r>
    </w:p>
    <w:p>
      <w:pPr>
        <w:pStyle w:val="ListParagraph"/>
        <w:numPr>
          <w:ilvl w:val="0"/>
          <w:numId w:val="1"/>
        </w:numPr>
        <w:spacing w:after="90"/>
      </w:pPr>
      <w:r>
        <w:rPr>
          <w:rFonts w:ascii="Calibri" w:cs="Calibri" w:eastAsia="Calibri" w:hAnsi="Calibri"/>
          <w:color w:val="1E1A1B"/>
          <w:sz w:val="21"/>
          <w:szCs w:val="21"/>
        </w:rPr>
        <w:t xml:space="preserve">Manifesto Project (MARPOR) — Handbook v5 (2021); codificação por quase-sentença; South America dataset.</w:t>
      </w:r>
    </w:p>
    <w:p>
      <w:pPr>
        <w:pStyle w:val="ListParagraph"/>
        <w:numPr>
          <w:ilvl w:val="0"/>
          <w:numId w:val="1"/>
        </w:numPr>
        <w:spacing w:after="90"/>
      </w:pPr>
      <w:r>
        <w:rPr>
          <w:rFonts w:ascii="Calibri" w:cs="Calibri" w:eastAsia="Calibri" w:hAnsi="Calibri"/>
          <w:color w:val="1E1A1B"/>
          <w:sz w:val="21"/>
          <w:szCs w:val="21"/>
        </w:rPr>
        <w:t xml:space="preserve">Comparative Agendas Project — codebook hierárquico de tópicos; projeto Brasil.</w:t>
      </w:r>
    </w:p>
    <w:p>
      <w:pPr>
        <w:pStyle w:val="ListParagraph"/>
        <w:numPr>
          <w:ilvl w:val="0"/>
          <w:numId w:val="1"/>
        </w:numPr>
        <w:spacing w:after="90"/>
      </w:pPr>
      <w:r>
        <w:rPr>
          <w:rFonts w:ascii="Calibri" w:cs="Calibri" w:eastAsia="Calibri" w:hAnsi="Calibri"/>
          <w:color w:val="1E1A1B"/>
          <w:sz w:val="21"/>
          <w:szCs w:val="21"/>
        </w:rPr>
        <w:t xml:space="preserve">Thomson, Royed et al. — pledge fulfillment (definição de promessa testável).</w:t>
      </w:r>
    </w:p>
    <w:p>
      <w:pPr>
        <w:pStyle w:val="ListParagraph"/>
        <w:numPr>
          <w:ilvl w:val="0"/>
          <w:numId w:val="1"/>
        </w:numPr>
        <w:spacing w:after="90"/>
      </w:pPr>
      <w:r>
        <w:rPr>
          <w:rFonts w:ascii="Calibri" w:cs="Calibri" w:eastAsia="Calibri" w:hAnsi="Calibri"/>
          <w:color w:val="1E1A1B"/>
          <w:sz w:val="21"/>
          <w:szCs w:val="21"/>
        </w:rPr>
        <w:t xml:space="preserve">McGowan et al. — PRESS 2015: Peer Review of Electronic Search Strategies.</w:t>
      </w:r>
    </w:p>
    <w:p>
      <w:pPr>
        <w:pStyle w:val="ListParagraph"/>
        <w:numPr>
          <w:ilvl w:val="0"/>
          <w:numId w:val="1"/>
        </w:numPr>
        <w:spacing w:after="90"/>
      </w:pPr>
      <w:r>
        <w:rPr>
          <w:rFonts w:ascii="Calibri" w:cs="Calibri" w:eastAsia="Calibri" w:hAnsi="Calibri"/>
          <w:color w:val="1E1A1B"/>
          <w:sz w:val="21"/>
          <w:szCs w:val="21"/>
        </w:rPr>
        <w:t xml:space="preserve">Declaração de Clima e Saúde da COP28 (dezembro de 2023).</w:t>
      </w:r>
    </w:p>
    <w:p>
      <w:pPr>
        <w:pStyle w:val="Heading2"/>
        <w:spacing w:after="100" w:before="220"/>
      </w:pPr>
      <w:r>
        <w:rPr>
          <w:rFonts w:ascii="Georgia" w:cs="Georgia" w:eastAsia="Georgia" w:hAnsi="Georgia"/>
          <w:b/>
          <w:bCs/>
          <w:color w:val="026E81"/>
          <w:sz w:val="24"/>
          <w:szCs w:val="24"/>
        </w:rPr>
        <w:t xml:space="preserve">Documentos e identificação</w:t>
      </w:r>
    </w:p>
    <w:p>
      <w:pPr>
        <w:pStyle w:val="ListParagraph"/>
        <w:numPr>
          <w:ilvl w:val="0"/>
          <w:numId w:val="1"/>
        </w:numPr>
        <w:spacing w:after="90"/>
      </w:pPr>
      <w:r>
        <w:rPr>
          <w:rFonts w:ascii="Calibri" w:cs="Calibri" w:eastAsia="Calibri" w:hAnsi="Calibri"/>
          <w:color w:val="1E1A1B"/>
          <w:sz w:val="21"/>
          <w:szCs w:val="21"/>
        </w:rPr>
        <w:t xml:space="preserve">Tribunal Superior Eleitoral — portal de dados abertos, pacotes proposta_governo_2026 por disputa (cdn.tse.jus.br/estatistica/sead/odsele/proposta_governo/).</w:t>
      </w:r>
    </w:p>
    <w:p>
      <w:pPr>
        <w:pStyle w:val="ListParagraph"/>
        <w:numPr>
          <w:ilvl w:val="0"/>
          <w:numId w:val="1"/>
        </w:numPr>
        <w:spacing w:after="90"/>
      </w:pPr>
      <w:r>
        <w:rPr>
          <w:rFonts w:ascii="Calibri" w:cs="Calibri" w:eastAsia="Calibri" w:hAnsi="Calibri"/>
          <w:color w:val="1E1A1B"/>
          <w:sz w:val="21"/>
          <w:szCs w:val="21"/>
        </w:rPr>
        <w:t xml:space="preserve">Tribunal Superior Eleitoral — DivulgaCandContas, sistema de candidaturas (protocolos, situação de registro, documentos).</w:t>
      </w:r>
    </w:p>
    <w:p>
      <w:pPr>
        <w:pStyle w:val="ListParagraph"/>
        <w:numPr>
          <w:ilvl w:val="0"/>
          <w:numId w:val="1"/>
        </w:numPr>
        <w:spacing w:after="90"/>
      </w:pPr>
      <w:r>
        <w:rPr>
          <w:rFonts w:ascii="Calibri" w:cs="Calibri" w:eastAsia="Calibri" w:hAnsi="Calibri"/>
          <w:color w:val="1E1A1B"/>
          <w:sz w:val="21"/>
          <w:szCs w:val="21"/>
        </w:rPr>
        <w:t xml:space="preserve">Dicionário de recuperação v3.1 (04/09/2026); manifesto do corpus (22/09/2026); registro do plano incluído por emenda (22/09/2026).</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0D5" w:sz="4" w:space="4"/>
      </w:pBdr>
      <w:tabs>
        <w:tab w:val="right" w:pos="9072"/>
      </w:tabs>
    </w:pPr>
    <w:r>
      <w:rPr>
        <w:rFonts w:ascii="Calibri" w:cs="Calibri" w:eastAsia="Calibri" w:hAnsi="Calibri"/>
        <w:color w:val="858889"/>
        <w:sz w:val="15"/>
        <w:szCs w:val="15"/>
      </w:rPr>
      <w:t xml:space="preserve">Metodologia completa v4.0 · Futura Evidence Lab · 22/09/2026</w:t>
    </w:r>
    <w:r>
      <w:rPr>
        <w:rFonts w:ascii="Calibri" w:cs="Calibri" w:eastAsia="Calibri" w:hAnsi="Calibri"/>
      </w:rPr>
      <w:t xml:space="preserve">	</w:t>
    </w:r>
    <w:r>
      <w:rPr>
        <w:rFonts w:ascii="Calibri" w:cs="Calibri" w:eastAsia="Calibri" w:hAnsi="Calibri"/>
        <w:color w:val="85888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A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40"/>
    </w:pPr>
    <w:rPr>
      <w:rFonts w:ascii="Calibri" w:cs="Calibri" w:eastAsia="Calibri" w:hAnsi="Calibri"/>
      <w:color w:val="1E1A1B"/>
      <w:sz w:val="21"/>
      <w:szCs w:val="21"/>
    </w:rPr>
  </w:style>
  <w:style w:type="paragraph" w:styleId="Heading1">
    <w:name w:val="Heading 1"/>
    <w:basedOn w:val="Normal"/>
    <w:next w:val="Normal"/>
    <w:qFormat/>
    <w:pPr>
      <w:keepNext/>
      <w:keepLines/>
      <w:spacing w:after="160" w:before="320"/>
      <w:outlineLvl w:val="0"/>
    </w:pPr>
    <w:rPr>
      <w:rFonts w:ascii="Georgia" w:cs="Georgia" w:eastAsia="Georgia" w:hAnsi="Georgia"/>
      <w:b/>
      <w:bCs/>
      <w:color w:val="026E81"/>
      <w:sz w:val="30"/>
      <w:szCs w:val="30"/>
    </w:rPr>
  </w:style>
  <w:style w:type="paragraph" w:styleId="Heading2">
    <w:name w:val="Heading 2"/>
    <w:basedOn w:val="Normal"/>
    <w:next w:val="Normal"/>
    <w:qFormat/>
    <w:pPr>
      <w:keepNext/>
      <w:keepLines/>
      <w:spacing w:after="100" w:before="220"/>
      <w:outlineLvl w:val="1"/>
    </w:pPr>
    <w:rPr>
      <w:rFonts w:ascii="Georgia" w:cs="Georgia" w:eastAsia="Georgia" w:hAnsi="Georgia"/>
      <w:b/>
      <w:bCs/>
      <w:color w:val="026E8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5fc5c0d5914d528786ad08ee10833b809d892c1.png"/><Relationship Id="rId9" Type="http://schemas.openxmlformats.org/officeDocument/2006/relationships/image" Target="media/54a2658f002449292073398b90339f12cd6af5e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2026-09-22T08:50:04.051Z</dcterms:created>
  <dcterms:modified xsi:type="dcterms:W3CDTF">2026-09-22T08:50:04.051Z</dcterms:modified>
</cp:coreProperties>
</file>

<file path=docProps/custom.xml><?xml version="1.0" encoding="utf-8"?>
<Properties xmlns="http://schemas.openxmlformats.org/officeDocument/2006/custom-properties" xmlns:vt="http://schemas.openxmlformats.org/officeDocument/2006/docPropsVTypes"/>
</file>