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before="200"/>
      </w:pPr>
      <w:r>
        <w:rPr>
          <w:rFonts w:ascii="Georgia" w:cs="Georgia" w:eastAsia="Georgia" w:hAnsi="Georgia"/>
          <w:b/>
          <w:bCs/>
          <w:caps/>
          <w:color w:val="026E81"/>
          <w:sz w:val="18"/>
          <w:szCs w:val="18"/>
        </w:rPr>
        <w:t xml:space="preserve">FUTURA EVIDENCE LAB · INSTITUTO AR / MÉDICOS PELO CLIMA</w:t>
      </w:r>
    </w:p>
    <w:p>
      <w:pPr>
        <w:spacing w:after="100"/>
      </w:pPr>
      <w:r>
        <w:rPr>
          <w:rFonts w:ascii="Georgia" w:cs="Georgia" w:eastAsia="Georgia" w:hAnsi="Georgia"/>
          <w:b/>
          <w:bCs/>
          <w:color w:val="8f75f2"/>
          <w:sz w:val="18"/>
          <w:szCs w:val="18"/>
        </w:rPr>
        <w:t xml:space="preserve">NOTA DE DEFESO ELEITORAL</w:t>
      </w:r>
    </w:p>
    <w:p>
      <w:pPr>
        <w:spacing w:after="260"/>
      </w:pPr>
      <w:r>
        <w:rPr>
          <w:rFonts w:ascii="Georgia" w:cs="Georgia" w:eastAsia="Georgia" w:hAnsi="Georgia"/>
          <w:b/>
          <w:bCs/>
          <w:color w:val="026E81"/>
          <w:sz w:val="54"/>
          <w:szCs w:val="54"/>
        </w:rPr>
        <w:t xml:space="preserve">Por que este registro</w:t>
      </w:r>
      <w:r>
        <w:rPr>
          <w:rFonts w:ascii="Georgia" w:cs="Georgia" w:eastAsia="Georgia" w:hAnsi="Georgia"/>
          <w:b/>
          <w:bCs/>
          <w:color w:val="026E81"/>
          <w:sz w:val="54"/>
          <w:szCs w:val="54"/>
        </w:rPr>
        <w:br/>
        <w:t xml:space="preserve">não é propaganda</w:t>
      </w:r>
      <w:r>
        <w:rPr>
          <w:rFonts w:ascii="Georgia" w:cs="Georgia" w:eastAsia="Georgia" w:hAnsi="Georgia"/>
          <w:b/>
          <w:bCs/>
          <w:color w:val="026E81"/>
          <w:sz w:val="54"/>
          <w:szCs w:val="54"/>
        </w:rPr>
        <w:br/>
        <w:t xml:space="preserve">eleitoral</w:t>
      </w:r>
    </w:p>
    <w:p>
      <w:pPr>
        <w:spacing w:after="2000"/>
      </w:pPr>
      <w:r>
        <w:rPr>
          <w:rFonts w:ascii="Calibri" w:cs="Calibri" w:eastAsia="Calibri" w:hAnsi="Calibri"/>
          <w:color w:val="1E1A1B"/>
          <w:sz w:val="27"/>
          <w:szCs w:val="27"/>
        </w:rPr>
        <w:t xml:space="preserve">O que a lei permite em período de campanha, como este projeto foi desenhado para cumpri-la, e o que qualquer leitor pode conferir por conta própria.</w:t>
      </w:r>
    </w:p>
    <w:p>
      <w:pPr>
        <w:spacing w:after="40"/>
      </w:pPr>
      <w:r>
        <w:rPr>
          <w:rFonts w:ascii="Calibri" w:cs="Calibri" w:eastAsia="Calibri" w:hAnsi="Calibri"/>
          <w:color w:val="858889"/>
          <w:sz w:val="19"/>
          <w:szCs w:val="19"/>
        </w:rPr>
        <w:t xml:space="preserve">Salvador, 22 de setembro de 2026</w:t>
      </w:r>
    </w:p>
    <w:p>
      <w:pPr>
        <w:spacing w:after="40"/>
      </w:pPr>
      <w:r>
        <w:rPr>
          <w:rFonts w:ascii="Calibri" w:cs="Calibri" w:eastAsia="Calibri" w:hAnsi="Calibri"/>
          <w:color w:val="858889"/>
          <w:sz w:val="19"/>
          <w:szCs w:val="19"/>
        </w:rPr>
        <w:t xml:space="preserve">Clima e Saúde nos Planos de Governo — Eleições 2026</w:t>
      </w:r>
    </w:p>
    <w:p>
      <w:pPr>
        <w:spacing w:after="40"/>
      </w:pPr>
      <w:r>
        <w:rPr>
          <w:rFonts w:ascii="Calibri" w:cs="Calibri" w:eastAsia="Calibri" w:hAnsi="Calibri"/>
          <w:color w:val="858889"/>
          <w:sz w:val="19"/>
          <w:szCs w:val="19"/>
        </w:rPr>
        <w:t xml:space="preserve">Versão 4.0 — final · corpus fechado em 22/09/2026 · Futura Evidence Lab para Instituto Ar e Médicos pelo Clima</w:t>
      </w:r>
    </w:p>
    <w:p>
      <w:r>
        <w:br w:type="page"/>
      </w:r>
    </w:p>
    <w:p>
      <w:pPr>
        <w:pStyle w:val="Heading1"/>
        <w:pBdr>
          <w:bottom w:val="single" w:color="026E81" w:sz="6" w:space="4"/>
        </w:pBdr>
        <w:spacing w:after="160" w:before="320"/>
      </w:pPr>
      <w:r>
        <w:rPr>
          <w:rFonts w:ascii="Georgia" w:cs="Georgia" w:eastAsia="Georgia" w:hAnsi="Georgia"/>
          <w:b/>
          <w:bCs/>
          <w:color w:val="026E81"/>
          <w:sz w:val="30"/>
          <w:szCs w:val="30"/>
        </w:rPr>
        <w:t xml:space="preserve">1. Introdução</w:t>
      </w:r>
    </w:p>
    <w:p>
      <w:pPr>
        <w:spacing w:after="140"/>
      </w:pPr>
      <w:r>
        <w:rPr>
          <w:rFonts w:ascii="Calibri" w:cs="Calibri" w:eastAsia="Calibri" w:hAnsi="Calibri"/>
          <w:color w:val="1E1A1B"/>
          <w:sz w:val="21"/>
          <w:szCs w:val="21"/>
        </w:rPr>
        <w:t xml:space="preserve">Este registro é publicado durante a campanha eleitoral de 2026, o período em que a Justiça Eleitoral fiscaliza com mais atenção o que se diz sobre candidatos. Isso levanta uma pergunta legítima, que esta nota responde: um trabalho que lê os planos de governo de 34 candidaturas e publica o que eles dizem sobre clima e saúde pode ser confundido com propaganda eleitoral?</w:t>
      </w:r>
    </w:p>
    <w:p>
      <w:pPr>
        <w:spacing w:after="140"/>
      </w:pPr>
      <w:r>
        <w:rPr>
          <w:rFonts w:ascii="Calibri" w:cs="Calibri" w:eastAsia="Calibri" w:hAnsi="Calibri"/>
          <w:color w:val="1E1A1B"/>
          <w:sz w:val="21"/>
          <w:szCs w:val="21"/>
        </w:rPr>
        <w:t xml:space="preserve">A resposta é não — e a razão não está no cuidado com que o texto final foi escrito, mas no método que o produziu. Esta nota explica, em linguagem comum, o que a lei considera propaganda, como o projeto foi desenhado desde a coleta dos documentos para não se enquadrar nisso, e quais são as regras que valem para tudo o que o site publica. A Nota metodológica v4.0 descreve o método por inteiro; aqui, o foco é apenas o seu enquadramento na legislação eleitoral.</w:t>
      </w:r>
    </w:p>
    <w:p>
      <w:pPr>
        <w:keepNext/>
        <w:keepLines/>
        <w:pBdr>
          <w:left w:val="single" w:color="8f75f2" w:sz="24" w:space="8"/>
        </w:pBdr>
        <w:shd w:fill="F1EEFC" w:color="auto" w:val="clear"/>
        <w:spacing w:after="60" w:before="120"/>
        <w:ind w:left="200" w:right="120"/>
      </w:pPr>
      <w:r>
        <w:rPr>
          <w:rFonts w:ascii="Georgia" w:cs="Georgia" w:eastAsia="Georgia" w:hAnsi="Georgia"/>
          <w:b/>
          <w:bCs/>
          <w:color w:val="8f75f2"/>
          <w:sz w:val="20"/>
          <w:szCs w:val="20"/>
        </w:rPr>
        <w:t xml:space="preserve">Esta nota não é um parecer jurídico</w:t>
      </w:r>
    </w:p>
    <w:p>
      <w:pPr>
        <w:keepNext w:val="false"/>
        <w:keepLines/>
        <w:pBdr>
          <w:left w:val="single" w:color="8f75f2" w:sz="24" w:space="8"/>
        </w:pBdr>
        <w:shd w:fill="F1EEFC" w:color="auto" w:val="clear"/>
        <w:spacing w:after="200" w:before="0"/>
        <w:ind w:left="200" w:right="120"/>
      </w:pPr>
      <w:r>
        <w:rPr>
          <w:rFonts w:ascii="Calibri" w:cs="Calibri" w:eastAsia="Calibri" w:hAnsi="Calibri"/>
          <w:color w:val="1E1A1B"/>
          <w:sz w:val="20"/>
          <w:szCs w:val="20"/>
        </w:rPr>
        <w:t xml:space="preserve">Ela descreve o método e o que ele garante. A análise de risco do projeto, feita item a item contra a legislação eleitoral com as citações verificadas na fonte, está em documento próprio da coordenação (Nota — Defeso Eleitoral e o Monitor Clima e Saúde, 17/09/2026).</w:t>
      </w:r>
    </w:p>
    <w:p>
      <w:pPr>
        <w:pStyle w:val="Heading1"/>
        <w:pBdr>
          <w:bottom w:val="single" w:color="026E81" w:sz="6" w:space="4"/>
        </w:pBdr>
        <w:spacing w:after="160" w:before="320"/>
      </w:pPr>
      <w:r>
        <w:rPr>
          <w:rFonts w:ascii="Georgia" w:cs="Georgia" w:eastAsia="Georgia" w:hAnsi="Georgia"/>
          <w:b/>
          <w:bCs/>
          <w:color w:val="026E81"/>
          <w:sz w:val="30"/>
          <w:szCs w:val="30"/>
        </w:rPr>
        <w:t xml:space="preserve">2. O que a lei permite e o que ela proíbe</w:t>
      </w:r>
    </w:p>
    <w:p>
      <w:pPr>
        <w:spacing w:after="140"/>
      </w:pPr>
      <w:r>
        <w:rPr>
          <w:rFonts w:ascii="Calibri" w:cs="Calibri" w:eastAsia="Calibri" w:hAnsi="Calibri"/>
          <w:color w:val="1E1A1B"/>
          <w:sz w:val="21"/>
          <w:szCs w:val="21"/>
        </w:rPr>
        <w:t xml:space="preserve">A Lei das Eleições (Lei nº 9.504/1997) proíbe, durante o período eleitoral, conteúdo que peça votos ou que, direta ou indiretamente, busque favorecer ou prejudicar uma candidatura. É isso que caracteriza propaganda eleitoral: a intenção de influenciar o voto a favor de alguém ou contra alguém.</w:t>
      </w:r>
    </w:p>
    <w:p>
      <w:pPr>
        <w:spacing w:after="140"/>
      </w:pPr>
      <w:r>
        <w:rPr>
          <w:rFonts w:ascii="Calibri" w:cs="Calibri" w:eastAsia="Calibri" w:hAnsi="Calibri"/>
          <w:color w:val="1E1A1B"/>
          <w:sz w:val="21"/>
          <w:szCs w:val="21"/>
        </w:rPr>
        <w:t xml:space="preserve">A mesma lei e a jurisprudência do Tribunal Superior Eleitoral reconhecem que discutir propostas de governo e políticas públicas durante a campanha é uma atividade distinta de propaganda — desde que seja feita de forma objetiva, com o mesmo tratamento para todas as candidaturas, sem vínculo partidário e sem pedido de voto. Organizações da sociedade civil podem, portanto, analisar e divulgar o que os planos de governo dizem. O que não podem é usar essa análise para apontar quem merece ou não merece o voto.</w:t>
      </w:r>
    </w:p>
    <w:p>
      <w:pPr>
        <w:spacing w:after="140"/>
      </w:pPr>
      <w:r>
        <w:rPr>
          <w:rFonts w:ascii="Calibri" w:cs="Calibri" w:eastAsia="Calibri" w:hAnsi="Calibri"/>
          <w:color w:val="1E1A1B"/>
          <w:sz w:val="21"/>
          <w:szCs w:val="21"/>
        </w:rPr>
        <w:t xml:space="preserve">A propaganda das candidaturas é formalmente permitida desde 16 de agosto de 2026, segundo o calendário fixado pela Resolução TSE nº 23.748/2026, com as regras de propaganda consolidadas na Resolução TSE nº 23.610/2019 e suas atualizações. Este registro foi publicado dentro desse período — a janela de maior fiscalização —, e foi construído sabendo disso.</w:t>
      </w:r>
    </w:p>
    <w:p>
      <w:pPr>
        <w:pStyle w:val="Heading1"/>
        <w:pBdr>
          <w:bottom w:val="single" w:color="026E81" w:sz="6" w:space="4"/>
        </w:pBdr>
        <w:spacing w:after="160" w:before="320"/>
      </w:pPr>
      <w:r>
        <w:rPr>
          <w:rFonts w:ascii="Georgia" w:cs="Georgia" w:eastAsia="Georgia" w:hAnsi="Georgia"/>
          <w:b/>
          <w:bCs/>
          <w:color w:val="026E81"/>
          <w:sz w:val="30"/>
          <w:szCs w:val="30"/>
        </w:rPr>
        <w:t xml:space="preserve">3. Como o projeto foi desenhado para cumprir a lei</w:t>
      </w:r>
    </w:p>
    <w:p>
      <w:pPr>
        <w:spacing w:after="140"/>
      </w:pPr>
      <w:r>
        <w:rPr>
          <w:rFonts w:ascii="Calibri" w:cs="Calibri" w:eastAsia="Calibri" w:hAnsi="Calibri"/>
          <w:color w:val="1E1A1B"/>
          <w:sz w:val="21"/>
          <w:szCs w:val="21"/>
        </w:rPr>
        <w:t xml:space="preserve">A distinção entre analisar planos e fazer propaganda depende, na prática, de uma coisa: se o resultado permite ou não distinguir uma candidatura como preferível a outra. O método deste projeto foi construído para que isso não seja possível — não por cautela na redação, mas por desenho, em três momentos: na coleta dos documentos, no tratamento do que foi encontrado e na forma de apresentar.</w:t>
      </w:r>
    </w:p>
    <w:p>
      <w:pPr>
        <w:pStyle w:val="Heading2"/>
        <w:spacing w:after="100" w:before="220"/>
      </w:pPr>
      <w:r>
        <w:rPr>
          <w:rFonts w:ascii="Georgia" w:cs="Georgia" w:eastAsia="Georgia" w:hAnsi="Georgia"/>
          <w:b/>
          <w:bCs/>
          <w:color w:val="026E81"/>
          <w:sz w:val="24"/>
          <w:szCs w:val="24"/>
        </w:rPr>
        <w:t xml:space="preserve">3.1 Na coleta</w:t>
      </w:r>
    </w:p>
    <w:p>
      <w:pPr>
        <w:spacing w:after="140"/>
      </w:pPr>
      <w:r>
        <w:rPr>
          <w:rFonts w:ascii="Calibri" w:cs="Calibri" w:eastAsia="Calibri" w:hAnsi="Calibri"/>
          <w:color w:val="1E1A1B"/>
          <w:sz w:val="21"/>
          <w:szCs w:val="21"/>
        </w:rPr>
        <w:t xml:space="preserve">Todo documento vem de uma única fonte oficial: o portal de dados abertos do Tribunal Superior Eleitoral. Nada foi coletado de sites de campanha, de redes sociais ou de material de assessoria. O critério de inclusão é o mesmo para todos: toda candidatura com plano de governo registrado no TSE para as quatro disputas entra, sem seleção por relevância, popularidade, intenção de voto ou posição política. As sete candidaturas em que não localizamos nenhuma menção aos quatro temas foram coletadas e verificadas exatamente como as demais.</w:t>
      </w:r>
    </w:p>
    <w:p>
      <w:pPr>
        <w:spacing w:after="140"/>
      </w:pPr>
      <w:r>
        <w:rPr>
          <w:rFonts w:ascii="Calibri" w:cs="Calibri" w:eastAsia="Calibri" w:hAnsi="Calibri"/>
          <w:color w:val="1E1A1B"/>
          <w:sz w:val="21"/>
          <w:szCs w:val="21"/>
        </w:rPr>
        <w:t xml:space="preserve">Cada arquivo recebeu uma impressão digital (SHA-256) no momento da coleta, o que permite provar que o documento analisado é exatamente o que estava registrado no TSE naquela data. E a regra para uma candidatura sair do corpus é uma só, aplicada sem exceção: só sai quem saiu definitivamente da disputa — registro indeferido sem recurso, ou renúncia. Quem tem recurso ou julgamento em aberto permanece, com a situação declarada. Foi assim que uma candidatura presidencial saiu, outra entrou em seu lugar por ter registrado plano depois da coleta original, e três candidaturas estaduais com recurso pendente permaneceram, marcadas como tal.</w:t>
      </w:r>
    </w:p>
    <w:p>
      <w:pPr>
        <w:pStyle w:val="Heading2"/>
        <w:spacing w:after="100" w:before="220"/>
      </w:pPr>
      <w:r>
        <w:rPr>
          <w:rFonts w:ascii="Georgia" w:cs="Georgia" w:eastAsia="Georgia" w:hAnsi="Georgia"/>
          <w:b/>
          <w:bCs/>
          <w:color w:val="026E81"/>
          <w:sz w:val="24"/>
          <w:szCs w:val="24"/>
        </w:rPr>
        <w:t xml:space="preserve">3.2 No tratamento</w:t>
      </w:r>
    </w:p>
    <w:p>
      <w:pPr>
        <w:spacing w:after="140"/>
      </w:pPr>
      <w:r>
        <w:rPr>
          <w:rFonts w:ascii="Calibri" w:cs="Calibri" w:eastAsia="Calibri" w:hAnsi="Calibri"/>
          <w:color w:val="1E1A1B"/>
          <w:sz w:val="21"/>
          <w:szCs w:val="21"/>
        </w:rPr>
        <w:t xml:space="preserve">O que conta como menção a clima, poluição do ar ou saúde é decidido por um dicionário público de 190 termos, cada um com fonte declarada em lei, norma técnica ou documento internacional — não pela impressão de quem lê. O mesmo dicionário, na mesma versão, foi aplicado às 34 candidaturas. Cada trecho encontrado recebe tema, estatuto e natureza; nunca recebe nota, adjetivo de qualidade ou posição relativa às demais. A metodologia proíbe, por regra escrita, palavras como “melhor”, “pior” ou “mais preparado” em qualquer peça do projeto.</w:t>
      </w:r>
    </w:p>
    <w:p>
      <w:pPr>
        <w:spacing w:after="140"/>
      </w:pPr>
      <w:r>
        <w:rPr>
          <w:rFonts w:ascii="Calibri" w:cs="Calibri" w:eastAsia="Calibri" w:hAnsi="Calibri"/>
          <w:color w:val="1E1A1B"/>
          <w:sz w:val="21"/>
          <w:szCs w:val="21"/>
        </w:rPr>
        <w:t xml:space="preserve">A verificação também é igual para todas: a mesma classificação em duas rodadas independentes, os mesmos critérios para selecionar o que vai à leitura humana, sem distinção por situação eleitoral, por ser governo ou oposição, ou por competitividade. Quando há contato com as assessorias de campanha, a mesma mensagem, com o mesmo prazo, vai para todas as candidaturas da disputa, e cada contato fica registrado com data, canal e resposta.</w:t>
      </w:r>
    </w:p>
    <w:p>
      <w:pPr>
        <w:pStyle w:val="Heading2"/>
        <w:spacing w:after="100" w:before="220"/>
      </w:pPr>
      <w:r>
        <w:rPr>
          <w:rFonts w:ascii="Georgia" w:cs="Georgia" w:eastAsia="Georgia" w:hAnsi="Georgia"/>
          <w:b/>
          <w:bCs/>
          <w:color w:val="026E81"/>
          <w:sz w:val="24"/>
          <w:szCs w:val="24"/>
        </w:rPr>
        <w:t xml:space="preserve">3.3 Na apresentação</w:t>
      </w:r>
    </w:p>
    <w:p>
      <w:pPr>
        <w:pStyle w:val="ListParagraph"/>
        <w:numPr>
          <w:ilvl w:val="0"/>
          <w:numId w:val="1"/>
        </w:numPr>
        <w:spacing w:after="90"/>
      </w:pPr>
      <w:r>
        <w:rPr>
          <w:rFonts w:ascii="Calibri" w:cs="Calibri" w:eastAsia="Calibri" w:hAnsi="Calibri"/>
          <w:color w:val="1E1A1B"/>
          <w:sz w:val="21"/>
          <w:szCs w:val="21"/>
        </w:rPr>
        <w:t xml:space="preserve">O registro não ordena candidaturas por número de menções, não atribui pontuação e não tem ranking. As tabelas seguem a ordem de registro no TSE, e a matriz publicada não é ordenável por volume.</w:t>
      </w:r>
    </w:p>
    <w:p>
      <w:pPr>
        <w:pStyle w:val="ListParagraph"/>
        <w:numPr>
          <w:ilvl w:val="0"/>
          <w:numId w:val="1"/>
        </w:numPr>
        <w:spacing w:after="90"/>
      </w:pPr>
      <w:r>
        <w:rPr>
          <w:rFonts w:ascii="Calibri" w:cs="Calibri" w:eastAsia="Calibri" w:hAnsi="Calibri"/>
          <w:color w:val="1E1A1B"/>
          <w:sz w:val="21"/>
          <w:szCs w:val="21"/>
        </w:rPr>
        <w:t xml:space="preserve">Nenhuma cor, tamanho ou posição sugere mérito. As cores distinguem tipos de dado — menção enunciada, atribuível, não localizada —, nunca hierarquizam candidaturas.</w:t>
      </w:r>
    </w:p>
    <w:p>
      <w:pPr>
        <w:pStyle w:val="ListParagraph"/>
        <w:numPr>
          <w:ilvl w:val="0"/>
          <w:numId w:val="1"/>
        </w:numPr>
        <w:spacing w:after="90"/>
      </w:pPr>
      <w:r>
        <w:rPr>
          <w:rFonts w:ascii="Calibri" w:cs="Calibri" w:eastAsia="Calibri" w:hAnsi="Calibri"/>
          <w:color w:val="1E1A1B"/>
          <w:sz w:val="21"/>
          <w:szCs w:val="21"/>
        </w:rPr>
        <w:t xml:space="preserve">Ausência de menção é sempre “não localizamos menção”, nunca “não tem”, “ignora” ou “não se importa”. A primeira é um fato de busca, datado; as outras atribuem uma intenção que o método não pode verificar.</w:t>
      </w:r>
    </w:p>
    <w:p>
      <w:pPr>
        <w:pStyle w:val="ListParagraph"/>
        <w:numPr>
          <w:ilvl w:val="0"/>
          <w:numId w:val="1"/>
        </w:numPr>
        <w:spacing w:after="90"/>
      </w:pPr>
      <w:r>
        <w:rPr>
          <w:rFonts w:ascii="Calibri" w:cs="Calibri" w:eastAsia="Calibri" w:hAnsi="Calibri"/>
          <w:color w:val="1E1A1B"/>
          <w:sz w:val="21"/>
          <w:szCs w:val="21"/>
        </w:rPr>
        <w:t xml:space="preserve">Nenhum plano é descrito em relação a outro plano nomeado de um jeito que sugira preferência. Cada plano é descrito em relação a si mesmo e ao conjunto.</w:t>
      </w:r>
    </w:p>
    <w:p>
      <w:pPr>
        <w:pStyle w:val="ListParagraph"/>
        <w:numPr>
          <w:ilvl w:val="0"/>
          <w:numId w:val="1"/>
        </w:numPr>
        <w:spacing w:after="90"/>
      </w:pPr>
      <w:r>
        <w:rPr>
          <w:rFonts w:ascii="Calibri" w:cs="Calibri" w:eastAsia="Calibri" w:hAnsi="Calibri"/>
          <w:color w:val="1E1A1B"/>
          <w:sz w:val="21"/>
          <w:szCs w:val="21"/>
        </w:rPr>
        <w:t xml:space="preserve">Qualquer menção a quantidade de trechos vem com a ressalva de que extensão não mede prioridade política: um plano com mais trechos pode ser apenas mais longo ou mais detalhado.</w:t>
      </w:r>
    </w:p>
    <w:p>
      <w:pPr>
        <w:pStyle w:val="ListParagraph"/>
        <w:numPr>
          <w:ilvl w:val="0"/>
          <w:numId w:val="1"/>
        </w:numPr>
        <w:spacing w:after="90"/>
      </w:pPr>
      <w:r>
        <w:rPr>
          <w:rFonts w:ascii="Calibri" w:cs="Calibri" w:eastAsia="Calibri" w:hAnsi="Calibri"/>
          <w:color w:val="1E1A1B"/>
          <w:sz w:val="21"/>
          <w:szCs w:val="21"/>
        </w:rPr>
        <w:t xml:space="preserve">Todo trecho citado leva a página e o link para o documento oficial no TSE. Nenhuma citação aparece sem que o leitor possa conferir a fonte.</w:t>
      </w:r>
    </w:p>
    <w:p>
      <w:pPr>
        <w:keepNext/>
        <w:keepLines/>
        <w:pBdr>
          <w:left w:val="single" w:color="026E81" w:sz="24" w:space="8"/>
        </w:pBdr>
        <w:shd w:fill="F4F3F4" w:color="auto" w:val="clear"/>
        <w:spacing w:after="60" w:before="120"/>
        <w:ind w:left="200" w:right="120"/>
      </w:pPr>
      <w:r>
        <w:rPr>
          <w:rFonts w:ascii="Georgia" w:cs="Georgia" w:eastAsia="Georgia" w:hAnsi="Georgia"/>
          <w:b/>
          <w:bCs/>
          <w:color w:val="026E81"/>
          <w:sz w:val="20"/>
          <w:szCs w:val="20"/>
        </w:rPr>
        <w:t xml:space="preserve">Declaração que acompanha toda publicação do projeto</w:t>
      </w:r>
    </w:p>
    <w:p>
      <w:pPr>
        <w:keepNext w:val="false"/>
        <w:keepLines/>
        <w:pBdr>
          <w:left w:val="single" w:color="026E81" w:sz="24" w:space="8"/>
        </w:pBdr>
        <w:shd w:fill="F4F3F4" w:color="auto" w:val="clear"/>
        <w:spacing w:after="200" w:before="0"/>
        <w:ind w:left="200" w:right="120"/>
      </w:pPr>
      <w:r>
        <w:rPr>
          <w:rFonts w:ascii="Calibri" w:cs="Calibri" w:eastAsia="Calibri" w:hAnsi="Calibri"/>
          <w:color w:val="1E1A1B"/>
          <w:sz w:val="20"/>
          <w:szCs w:val="20"/>
        </w:rPr>
        <w:t xml:space="preserve">“Este material tem caráter técnico, independente e apartidário. Não constitui propaganda eleitoral nem recomendação de voto. A metodologia completa está descrita na página de método.”</w:t>
      </w:r>
    </w:p>
    <w:p>
      <w:pPr>
        <w:pStyle w:val="Heading1"/>
        <w:pBdr>
          <w:bottom w:val="single" w:color="026E81" w:sz="6" w:space="4"/>
        </w:pBdr>
        <w:spacing w:after="160" w:before="320"/>
      </w:pPr>
      <w:r>
        <w:rPr>
          <w:rFonts w:ascii="Georgia" w:cs="Georgia" w:eastAsia="Georgia" w:hAnsi="Georgia"/>
          <w:b/>
          <w:bCs/>
          <w:color w:val="026E81"/>
          <w:sz w:val="30"/>
          <w:szCs w:val="30"/>
        </w:rPr>
        <w:t xml:space="preserve">4. O que este projeto nunca faz</w:t>
      </w:r>
    </w:p>
    <w:p>
      <w:pPr>
        <w:pStyle w:val="ListParagraph"/>
        <w:numPr>
          <w:ilvl w:val="0"/>
          <w:numId w:val="1"/>
        </w:numPr>
        <w:spacing w:after="90"/>
      </w:pPr>
      <w:r>
        <w:rPr>
          <w:rFonts w:ascii="Calibri" w:cs="Calibri" w:eastAsia="Calibri" w:hAnsi="Calibri"/>
          <w:color w:val="1E1A1B"/>
          <w:sz w:val="21"/>
          <w:szCs w:val="21"/>
        </w:rPr>
        <w:t xml:space="preserve">Não pede voto, não recomenda voto e não desaconselha voto em nenhuma candidatura.</w:t>
      </w:r>
    </w:p>
    <w:p>
      <w:pPr>
        <w:pStyle w:val="ListParagraph"/>
        <w:numPr>
          <w:ilvl w:val="0"/>
          <w:numId w:val="1"/>
        </w:numPr>
        <w:spacing w:after="90"/>
      </w:pPr>
      <w:r>
        <w:rPr>
          <w:rFonts w:ascii="Calibri" w:cs="Calibri" w:eastAsia="Calibri" w:hAnsi="Calibri"/>
          <w:color w:val="1E1A1B"/>
          <w:sz w:val="21"/>
          <w:szCs w:val="21"/>
        </w:rPr>
        <w:t xml:space="preserve">Não avalia se um plano é bom ou ruim, suficiente ou insuficiente, nem se uma proposta é viável.</w:t>
      </w:r>
    </w:p>
    <w:p>
      <w:pPr>
        <w:pStyle w:val="ListParagraph"/>
        <w:numPr>
          <w:ilvl w:val="0"/>
          <w:numId w:val="1"/>
        </w:numPr>
        <w:spacing w:after="90"/>
      </w:pPr>
      <w:r>
        <w:rPr>
          <w:rFonts w:ascii="Calibri" w:cs="Calibri" w:eastAsia="Calibri" w:hAnsi="Calibri"/>
          <w:color w:val="1E1A1B"/>
          <w:sz w:val="21"/>
          <w:szCs w:val="21"/>
        </w:rPr>
        <w:t xml:space="preserve">Não atribui intenção: o objeto é o texto do plano, não a convicção de quem o assina.</w:t>
      </w:r>
    </w:p>
    <w:p>
      <w:pPr>
        <w:pStyle w:val="ListParagraph"/>
        <w:numPr>
          <w:ilvl w:val="0"/>
          <w:numId w:val="1"/>
        </w:numPr>
        <w:spacing w:after="90"/>
      </w:pPr>
      <w:r>
        <w:rPr>
          <w:rFonts w:ascii="Calibri" w:cs="Calibri" w:eastAsia="Calibri" w:hAnsi="Calibri"/>
          <w:color w:val="1E1A1B"/>
          <w:sz w:val="21"/>
          <w:szCs w:val="21"/>
        </w:rPr>
        <w:t xml:space="preserve">Não compara candidaturas de cargos diferentes como se fossem equivalentes — Presidência e governos estaduais têm competências distintas e são apresentados separadamente.</w:t>
      </w:r>
    </w:p>
    <w:p>
      <w:pPr>
        <w:pStyle w:val="ListParagraph"/>
        <w:numPr>
          <w:ilvl w:val="0"/>
          <w:numId w:val="1"/>
        </w:numPr>
        <w:spacing w:after="90"/>
      </w:pPr>
      <w:r>
        <w:rPr>
          <w:rFonts w:ascii="Calibri" w:cs="Calibri" w:eastAsia="Calibri" w:hAnsi="Calibri"/>
          <w:color w:val="1E1A1B"/>
          <w:sz w:val="21"/>
          <w:szCs w:val="21"/>
        </w:rPr>
        <w:t xml:space="preserve">Não usa material de campanha, entrevistas, redes sociais ou declarações — só o plano registrado no TSE.</w:t>
      </w:r>
    </w:p>
    <w:p>
      <w:pPr>
        <w:pStyle w:val="Heading1"/>
        <w:pBdr>
          <w:bottom w:val="single" w:color="026E81" w:sz="6" w:space="4"/>
        </w:pBdr>
        <w:spacing w:after="160" w:before="320"/>
      </w:pPr>
      <w:r>
        <w:rPr>
          <w:rFonts w:ascii="Georgia" w:cs="Georgia" w:eastAsia="Georgia" w:hAnsi="Georgia"/>
          <w:b/>
          <w:bCs/>
          <w:color w:val="026E81"/>
          <w:sz w:val="30"/>
          <w:szCs w:val="30"/>
        </w:rPr>
        <w:t xml:space="preserve">5. O que qualquer leitor pode conferir</w:t>
      </w:r>
    </w:p>
    <w:p>
      <w:pPr>
        <w:spacing w:after="140"/>
      </w:pPr>
      <w:r>
        <w:rPr>
          <w:rFonts w:ascii="Calibri" w:cs="Calibri" w:eastAsia="Calibri" w:hAnsi="Calibri"/>
          <w:color w:val="1E1A1B"/>
          <w:sz w:val="21"/>
          <w:szCs w:val="21"/>
        </w:rPr>
        <w:t xml:space="preserve">A garantia de que o método faz o que esta nota descreve não pede confiança: pede verificação. Estão publicados, junto com o registro: o dicionário de recuperação, com a fonte de cada termo; a impressão digital de cada um dos 37 documentos coletados, para confirmar que são os que estavam no TSE na data de corte; toda citação do projeto, com página e link para o documento oficial; e a lista das candidaturas com a situação do registro na data de corte. Comparar quaisquer duas entradas do registro mostra o mesmo critério aplicado às duas.</w:t>
      </w:r>
    </w:p>
    <w:p>
      <w:pPr>
        <w:pStyle w:val="Heading1"/>
        <w:pBdr>
          <w:bottom w:val="single" w:color="026E81" w:sz="6" w:space="4"/>
        </w:pBdr>
        <w:spacing w:after="160" w:before="320"/>
      </w:pPr>
      <w:r>
        <w:rPr>
          <w:rFonts w:ascii="Georgia" w:cs="Georgia" w:eastAsia="Georgia" w:hAnsi="Georgia"/>
          <w:b/>
          <w:bCs/>
          <w:color w:val="026E81"/>
          <w:sz w:val="30"/>
          <w:szCs w:val="30"/>
        </w:rPr>
        <w:t xml:space="preserve">6. Fontes</w:t>
      </w:r>
    </w:p>
    <w:p>
      <w:pPr>
        <w:pStyle w:val="ListParagraph"/>
        <w:numPr>
          <w:ilvl w:val="0"/>
          <w:numId w:val="1"/>
        </w:numPr>
        <w:spacing w:after="90"/>
      </w:pPr>
      <w:r>
        <w:rPr>
          <w:rFonts w:ascii="Calibri" w:cs="Calibri" w:eastAsia="Calibri" w:hAnsi="Calibri"/>
          <w:color w:val="1E1A1B"/>
          <w:sz w:val="21"/>
          <w:szCs w:val="21"/>
        </w:rPr>
        <w:t xml:space="preserve">Lei nº 9.504/1997 (Lei das Eleições), especialmente os artigos 36 e 36-A, sobre propaganda eleitoral e sobre o que não a configura.</w:t>
      </w:r>
    </w:p>
    <w:p>
      <w:pPr>
        <w:pStyle w:val="ListParagraph"/>
        <w:numPr>
          <w:ilvl w:val="0"/>
          <w:numId w:val="1"/>
        </w:numPr>
        <w:spacing w:after="90"/>
      </w:pPr>
      <w:r>
        <w:rPr>
          <w:rFonts w:ascii="Calibri" w:cs="Calibri" w:eastAsia="Calibri" w:hAnsi="Calibri"/>
          <w:color w:val="1E1A1B"/>
          <w:sz w:val="21"/>
          <w:szCs w:val="21"/>
        </w:rPr>
        <w:t xml:space="preserve">Resolução TSE nº 23.610/2019, que dispõe sobre propaganda eleitoral, com as atualizações das Resoluções TSE nº 23.732/2024 e nº 23.755/2026.</w:t>
      </w:r>
    </w:p>
    <w:p>
      <w:pPr>
        <w:pStyle w:val="ListParagraph"/>
        <w:numPr>
          <w:ilvl w:val="0"/>
          <w:numId w:val="1"/>
        </w:numPr>
        <w:spacing w:after="90"/>
      </w:pPr>
      <w:r>
        <w:rPr>
          <w:rFonts w:ascii="Calibri" w:cs="Calibri" w:eastAsia="Calibri" w:hAnsi="Calibri"/>
          <w:color w:val="1E1A1B"/>
          <w:sz w:val="21"/>
          <w:szCs w:val="21"/>
        </w:rPr>
        <w:t xml:space="preserve">Resolução TSE nº 23.748/2026 — calendário eleitoral de 2026 (início da propaganda em 16 de agosto).</w:t>
      </w:r>
    </w:p>
    <w:p>
      <w:pPr>
        <w:pStyle w:val="ListParagraph"/>
        <w:numPr>
          <w:ilvl w:val="0"/>
          <w:numId w:val="1"/>
        </w:numPr>
        <w:spacing w:after="90"/>
      </w:pPr>
      <w:r>
        <w:rPr>
          <w:rFonts w:ascii="Calibri" w:cs="Calibri" w:eastAsia="Calibri" w:hAnsi="Calibri"/>
          <w:color w:val="1E1A1B"/>
          <w:sz w:val="21"/>
          <w:szCs w:val="21"/>
        </w:rPr>
        <w:t xml:space="preserve">Nota metodológica v4.0 e Metodologia completa v4.0 — Clima e saúde nos planos de governo, Eleições 2026.</w:t>
      </w:r>
    </w:p>
    <w:sectPr>
      <w:footerReference w:type="default" r:id="rId7"/>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D0D5" w:sz="4" w:space="4"/>
      </w:pBdr>
      <w:tabs>
        <w:tab w:val="right" w:pos="9072"/>
      </w:tabs>
    </w:pPr>
    <w:r>
      <w:rPr>
        <w:rFonts w:ascii="Calibri" w:cs="Calibri" w:eastAsia="Calibri" w:hAnsi="Calibri"/>
        <w:color w:val="858889"/>
        <w:sz w:val="15"/>
        <w:szCs w:val="15"/>
      </w:rPr>
      <w:t xml:space="preserve">Nota de defeso eleitoral v4.0 · Futura Evidence Lab · 22/09/2026</w:t>
    </w:r>
    <w:r>
      <w:rPr>
        <w:rFonts w:ascii="Calibri" w:cs="Calibri" w:eastAsia="Calibri" w:hAnsi="Calibri"/>
      </w:rPr>
      <w:t xml:space="preserve">	</w:t>
    </w:r>
    <w:r>
      <w:rPr>
        <w:rFonts w:ascii="Calibri" w:cs="Calibri" w:eastAsia="Calibri" w:hAnsi="Calibri"/>
        <w:color w:val="85888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1A1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40"/>
    </w:pPr>
    <w:rPr>
      <w:rFonts w:ascii="Calibri" w:cs="Calibri" w:eastAsia="Calibri" w:hAnsi="Calibri"/>
      <w:color w:val="1E1A1B"/>
      <w:sz w:val="21"/>
      <w:szCs w:val="21"/>
    </w:rPr>
  </w:style>
  <w:style w:type="paragraph" w:styleId="Heading1">
    <w:name w:val="Heading 1"/>
    <w:basedOn w:val="Normal"/>
    <w:next w:val="Normal"/>
    <w:qFormat/>
    <w:pPr>
      <w:keepNext/>
      <w:keepLines/>
      <w:spacing w:after="160" w:before="320"/>
      <w:outlineLvl w:val="0"/>
    </w:pPr>
    <w:rPr>
      <w:rFonts w:ascii="Georgia" w:cs="Georgia" w:eastAsia="Georgia" w:hAnsi="Georgia"/>
      <w:b/>
      <w:bCs/>
      <w:color w:val="026E81"/>
      <w:sz w:val="30"/>
      <w:szCs w:val="30"/>
    </w:rPr>
  </w:style>
  <w:style w:type="paragraph" w:styleId="Heading2">
    <w:name w:val="Heading 2"/>
    <w:basedOn w:val="Normal"/>
    <w:next w:val="Normal"/>
    <w:qFormat/>
    <w:pPr>
      <w:keepNext/>
      <w:keepLines/>
      <w:spacing w:after="100" w:before="220"/>
      <w:outlineLvl w:val="1"/>
    </w:pPr>
    <w:rPr>
      <w:rFonts w:ascii="Georgia" w:cs="Georgia" w:eastAsia="Georgia" w:hAnsi="Georgia"/>
      <w:b/>
      <w:bCs/>
      <w:color w:val="026E8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2026-09-22T08:50:04.396Z</dcterms:created>
  <dcterms:modified xsi:type="dcterms:W3CDTF">2026-09-22T08:50:04.396Z</dcterms:modified>
</cp:coreProperties>
</file>

<file path=docProps/custom.xml><?xml version="1.0" encoding="utf-8"?>
<Properties xmlns="http://schemas.openxmlformats.org/officeDocument/2006/custom-properties" xmlns:vt="http://schemas.openxmlformats.org/officeDocument/2006/docPropsVTypes"/>
</file>