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80" w:after="560"/>
        <w:jc w:val="center"/>
      </w:pPr>
      <w:r>
        <w:rPr>
          <w:rFonts w:ascii="Times New Roman" w:hAnsi="Times New Roman"/>
          <w:b/>
          <w:color w:val="4A86E8"/>
          <w:sz w:val="28"/>
        </w:rPr>
        <w:t>ANEXO “GAST-1.1”</w:t>
      </w:r>
    </w:p>
    <w:p>
      <w:pPr>
        <w:spacing w:before="180" w:after="180"/>
        <w:jc w:val="both"/>
      </w:pPr>
      <w:r>
        <w:rPr>
          <w:rFonts w:ascii="Times New Roman" w:hAnsi="Times New Roman"/>
          <w:b/>
          <w:sz w:val="22"/>
        </w:rPr>
        <w:t>INFORME TÉCNICO DEL ESTADO ACTUAL DE SCENE HUB</w:t>
      </w:r>
    </w:p>
    <w:p>
      <w:pPr>
        <w:spacing w:before="180" w:after="180"/>
        <w:jc w:val="both"/>
      </w:pPr>
      <w:r>
        <w:rPr>
          <w:rFonts w:ascii="Times New Roman" w:hAnsi="Times New Roman"/>
          <w:sz w:val="22"/>
        </w:rPr>
        <w:t>EVOLUCIÓN, ARQUITECTURA, FUNCIONES E INTEGRACIÓN</w:t>
      </w:r>
    </w:p>
    <w:p>
      <w:pPr>
        <w:spacing w:before="180" w:after="360"/>
        <w:jc w:val="both"/>
      </w:pPr>
      <w:r>
        <w:rPr>
          <w:rFonts w:ascii="Times New Roman" w:hAnsi="Times New Roman"/>
          <w:i/>
          <w:sz w:val="22"/>
        </w:rPr>
        <w:t>Corte técnico al 16 de septiembre de 2026, 14:51, hora de Colombia</w:t>
      </w:r>
    </w:p>
    <w:p>
      <w:pPr>
        <w:keepNext/>
        <w:spacing w:before="180" w:after="180"/>
        <w:jc w:val="both"/>
      </w:pPr>
      <w:r>
        <w:rPr>
          <w:rFonts w:ascii="Times New Roman" w:hAnsi="Times New Roman"/>
          <w:b/>
          <w:sz w:val="22"/>
        </w:rPr>
        <w:t>PROPÓSITO Y ESTADO ACTUAL</w:t>
      </w:r>
    </w:p>
    <w:p>
      <w:pPr>
        <w:widowControl/>
        <w:spacing w:line="276" w:lineRule="auto" w:before="180" w:after="180"/>
        <w:jc w:val="both"/>
      </w:pPr>
      <w:r>
        <w:rPr>
          <w:rFonts w:ascii="Times New Roman" w:hAnsi="Times New Roman"/>
          <w:sz w:val="22"/>
        </w:rPr>
        <w:t>Scene Hub centraliza escenarios, documentos Word y Excel, publicaciones de resultados solares y datos emocionales asociados a webinars. Combina un panel web con administración de usuarios, permisos y contenidos, y una API JSON pública de lectura para clientes externos, incluido Unity.</w:t>
      </w:r>
    </w:p>
    <w:p>
      <w:pPr>
        <w:widowControl/>
        <w:spacing w:line="276" w:lineRule="auto" w:before="180" w:after="180"/>
        <w:jc w:val="both"/>
      </w:pPr>
      <w:r>
        <w:rPr>
          <w:rFonts w:ascii="Times New Roman" w:hAnsi="Times New Roman"/>
          <w:sz w:val="22"/>
        </w:rPr>
        <w:t>El estado actual ya incorpora como funciones registradas en Git la simplificación de roles, la activación e inhabilitación de cuentas, la asignación de módulos por usuario, la carga múltiple de documentos y la consulta histórica de versiones solares. La carga emocional pública fue retirada: los datos se cargan desde una sesión autorizada y se exponen externamente solo mediante consultas GET.</w:t>
      </w:r>
    </w:p>
    <w:p>
      <w:pPr>
        <w:widowControl/>
        <w:spacing w:line="276" w:lineRule="auto" w:before="180" w:after="180"/>
        <w:jc w:val="both"/>
      </w:pPr>
      <w:r>
        <w:rPr>
          <w:rFonts w:ascii="Times New Roman" w:hAnsi="Times New Roman"/>
          <w:sz w:val="22"/>
        </w:rPr>
        <w:t>El producto gestiona, valida, conserva, consulta y distribuye resultados producidos fuera de la plataforma. No ejecuta simulaciones físicas ni reconocimiento de emociones. Su consolidación todavía exige corregir incompatibilidades entre las invitaciones y el rol usuario, definir el alcance de la información pública y alinear la suite histórica con los contratos vigentes.</w:t>
      </w:r>
    </w:p>
    <w:p>
      <w:pPr>
        <w:keepNext/>
        <w:spacing w:before="180" w:after="180"/>
        <w:jc w:val="both"/>
      </w:pPr>
      <w:r>
        <w:rPr>
          <w:rFonts w:ascii="Times New Roman" w:hAnsi="Times New Roman"/>
          <w:b/>
          <w:sz w:val="22"/>
        </w:rPr>
        <w:t>IDENTIFICACIÓN DE LA REVISIÓN</w:t>
      </w:r>
    </w:p>
    <w:p>
      <w:pPr>
        <w:keepNext/>
        <w:spacing w:before="180" w:after="120"/>
        <w:jc w:val="center"/>
      </w:pPr>
      <w:r>
        <w:rPr>
          <w:rFonts w:ascii="Times New Roman" w:hAnsi="Times New Roman"/>
          <w:b/>
          <w:sz w:val="22"/>
        </w:rPr>
        <w:t>Tabla 1. Identificación de la revisión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511"/>
        <w:gridCol w:w="6849"/>
      </w:tblGrid>
      <w:tr>
        <w:trPr>
          <w:cantSplit/>
          <w:tblHeader/>
        </w:trPr>
        <w:tc>
          <w:tcPr>
            <w:tcW w:type="dxa" w:w="2511"/>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Elemento</w:t>
            </w:r>
          </w:p>
        </w:tc>
        <w:tc>
          <w:tcPr>
            <w:tcW w:type="dxa" w:w="6849"/>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Referencia</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Producto</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Scene Hub</w:t>
            </w:r>
          </w:p>
        </w:tc>
      </w:tr>
      <w:tr>
        <w:trPr>
          <w:cantSplit/>
        </w:trPr>
        <w:tc>
          <w:tcPr>
            <w:tcW w:type="dxa" w:w="2511"/>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Versión de referencia</w:t>
            </w:r>
          </w:p>
        </w:tc>
        <w:tc>
          <w:tcPr>
            <w:tcW w:type="dxa" w:w="6849"/>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HEAD 8036886; árbol de trabajo limpio al iniciar la revisión</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Historial considerado</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13 commits del proyecto actual desde el 5 de agosto de 2026</w:t>
            </w:r>
          </w:p>
        </w:tc>
      </w:tr>
      <w:tr>
        <w:trPr>
          <w:cantSplit/>
        </w:trPr>
        <w:tc>
          <w:tcPr>
            <w:tcW w:type="dxa" w:w="2511"/>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Alcance técnico</w:t>
            </w:r>
          </w:p>
        </w:tc>
        <w:tc>
          <w:tcPr>
            <w:tcW w:type="dxa" w:w="6849"/>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Código, migraciones, rutas, interfaz, documentación, compilación y pruebas locales</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Estado de entrega</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Informe del estado implementado; no certificación de despliegue</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ORGANIZACIÓN DEL INFORME</w:t>
      </w:r>
    </w:p>
    <w:p>
      <w:pPr>
        <w:widowControl/>
        <w:spacing w:line="276" w:lineRule="auto" w:before="180" w:after="180"/>
        <w:jc w:val="both"/>
      </w:pPr>
      <w:r>
        <w:rPr>
          <w:rFonts w:ascii="Times New Roman" w:hAnsi="Times New Roman"/>
          <w:sz w:val="22"/>
        </w:rPr>
        <w:t>1 Evolución · 2 Arquitectura · 3 Modelo de datos · 4 Identidad y acceso · 5 Escenarios · 6 Importación solar · 7 Análisis solar · 8 Versiones y Unity · 9 Emociones · 10 Contratos emocionales · 11 API pública · 12 Operaciones web · 13 Interfaz · 14 Despliegue · 15 Verificación · 16 Hallazgos · 17 Fuentes y criterios de cierre.</w:t>
      </w:r>
    </w:p>
    <w:p>
      <w:pPr>
        <w:keepNext/>
        <w:spacing w:before="180" w:after="180"/>
        <w:jc w:val="both"/>
      </w:pPr>
      <w:r>
        <w:rPr>
          <w:rFonts w:ascii="Times New Roman" w:hAnsi="Times New Roman"/>
          <w:b/>
          <w:sz w:val="22"/>
        </w:rPr>
        <w:t>1 EVOLUCIÓN DEL PROYECTO</w:t>
      </w:r>
    </w:p>
    <w:p>
      <w:pPr>
        <w:widowControl/>
        <w:spacing w:line="276" w:lineRule="auto" w:before="180" w:after="180"/>
        <w:jc w:val="both"/>
      </w:pPr>
      <w:r>
        <w:rPr>
          <w:rFonts w:ascii="Times New Roman" w:hAnsi="Times New Roman"/>
          <w:sz w:val="22"/>
        </w:rPr>
        <w:t>La cronología se apoya en commits y migraciones. Una fecha de commit acredita incorporación al repositorio, mientras que la fecha de una migración identifica un cambio de esquema; ninguna de las dos demuestra por sí sola una puesta en producción.</w:t>
      </w:r>
    </w:p>
    <w:p>
      <w:pPr>
        <w:keepNext/>
        <w:spacing w:before="180" w:after="120"/>
        <w:jc w:val="center"/>
      </w:pPr>
      <w:r>
        <w:rPr>
          <w:rFonts w:ascii="Times New Roman" w:hAnsi="Times New Roman"/>
          <w:b/>
          <w:sz w:val="22"/>
        </w:rPr>
        <w:t>Tabla 2. Evolución verificable de Scene Hub</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744"/>
        <w:gridCol w:w="7616"/>
      </w:tblGrid>
      <w:tr>
        <w:trPr>
          <w:cantSplit/>
          <w:tblHeader/>
        </w:trPr>
        <w:tc>
          <w:tcPr>
            <w:tcW w:type="dxa" w:w="1744"/>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Periodo</w:t>
            </w:r>
          </w:p>
        </w:tc>
        <w:tc>
          <w:tcPr>
            <w:tcW w:type="dxa" w:w="761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Evolución verificable</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5 ago 2026</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Momento cero de Scene Hub: preparación de operaciones de roles y permisos en el commit b77bbcd y actualización inicial del modelo de autorización en c887207.</w:t>
            </w:r>
          </w:p>
        </w:tc>
      </w:tr>
      <w:tr>
        <w:trPr>
          <w:cantSplit/>
        </w:trPr>
        <w:tc>
          <w:tcPr>
            <w:tcW w:type="dxa" w:w="174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13 a 14 ago 2026</w:t>
            </w:r>
          </w:p>
        </w:tc>
        <w:tc>
          <w:tcPr>
            <w:tcW w:type="dxa" w:w="761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Preparación del módulo de escenarios, vistas Blade, rutas web y primeras vistas del panel. La entrada React app.jsx aparece en el commit 8ab551e.</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1 a 3 sep 2026</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Modulación de permisos y roles, operaciones de propietario e incorporación de la vista de webinars dentro del módulo emocional.</w:t>
            </w:r>
          </w:p>
        </w:tc>
      </w:tr>
      <w:tr>
        <w:trPr>
          <w:cantSplit/>
        </w:trPr>
        <w:tc>
          <w:tcPr>
            <w:tcW w:type="dxa" w:w="174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8 a 14 sep 2026</w:t>
            </w:r>
          </w:p>
        </w:tc>
        <w:tc>
          <w:tcPr>
            <w:tcW w:type="dxa" w:w="761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Tablas y operaciones emocionales, integración de webinars, datos solares estructurados y registro de versiones. Se desarrollan los contratos de consulta actuales.</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15 a 16 sep 2026</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Separación de emociones respecto de escenarios, normalización del promedio categórico, reorganización visual y refinamiento de vistas.</w:t>
            </w:r>
          </w:p>
        </w:tc>
      </w:tr>
      <w:tr>
        <w:trPr>
          <w:cantSplit/>
        </w:trPr>
        <w:tc>
          <w:tcPr>
            <w:tcW w:type="dxa" w:w="174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16 sep 2026 11 53</w:t>
            </w:r>
          </w:p>
        </w:tc>
        <w:tc>
          <w:tcPr>
            <w:tcW w:type="dxa" w:w="761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Commit 18679d6: rol usuario, módulos por cuenta, is_active, middleware de inhabilitación y administración de accesos.</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16 sep 2026 14 51</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Commit 8036886: documentos Word y Excel, cargas múltiples, historial solar seleccionable y API emocional pública de solo lectura.</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CAMBIO DE ENFOQUE</w:t>
      </w:r>
    </w:p>
    <w:p>
      <w:pPr>
        <w:widowControl/>
        <w:spacing w:line="276" w:lineRule="auto" w:before="180" w:after="180"/>
        <w:jc w:val="both"/>
      </w:pPr>
      <w:r>
        <w:rPr>
          <w:rFonts w:ascii="Times New Roman" w:hAnsi="Times New Roman"/>
          <w:sz w:val="22"/>
        </w:rPr>
        <w:t>Scene Hub evoluciona desde un control inicial de identidad y permisos hacia recursos con contexto funcional. Los resultados solares pertenecen a un escenario y a un archivo; los datos emocionales pertenecen a id_meeting. Esta separación permite que cada dominio mantenga su propio ciclo de carga, consulta y publicación.</w:t>
      </w:r>
    </w:p>
    <w:p>
      <w:pPr>
        <w:keepNext/>
        <w:spacing w:before="180" w:after="180"/>
        <w:jc w:val="both"/>
      </w:pPr>
      <w:r>
        <w:rPr>
          <w:rFonts w:ascii="Times New Roman" w:hAnsi="Times New Roman"/>
          <w:b/>
          <w:sz w:val="22"/>
        </w:rPr>
        <w:t>MOMENTO CERO Y CRITERIO DE ALCANCE</w:t>
      </w:r>
    </w:p>
    <w:p>
      <w:pPr>
        <w:widowControl/>
        <w:spacing w:line="276" w:lineRule="auto" w:before="180" w:after="180"/>
        <w:jc w:val="both"/>
      </w:pPr>
      <w:r>
        <w:rPr>
          <w:rFonts w:ascii="Times New Roman" w:hAnsi="Times New Roman"/>
          <w:sz w:val="22"/>
        </w:rPr>
        <w:t>El informe considera como inicio del proyecto actual el commit b77bbcd del 5 de agosto de 2026, cuando comienza la construcción verificable de roles, permisos y módulos que evolucionan hasta Scene Hub. La cronología, los hitos y las conclusiones se limitan a esa línea funcional y a sus desarrollos posteriores.</w:t>
      </w:r>
    </w:p>
    <w:p>
      <w:pPr>
        <w:keepNext/>
        <w:spacing w:before="180" w:after="180"/>
        <w:jc w:val="both"/>
      </w:pPr>
      <w:r>
        <w:rPr>
          <w:rFonts w:ascii="Times New Roman" w:hAnsi="Times New Roman"/>
          <w:b/>
          <w:sz w:val="22"/>
        </w:rPr>
        <w:t>2 ARQUITECTURA DE LA SOLUCIÓN</w:t>
      </w:r>
    </w:p>
    <w:p>
      <w:pPr>
        <w:widowControl/>
        <w:spacing w:line="276" w:lineRule="auto" w:before="180" w:after="180"/>
        <w:jc w:val="both"/>
      </w:pPr>
      <w:r>
        <w:rPr>
          <w:rFonts w:ascii="Times New Roman" w:hAnsi="Times New Roman"/>
          <w:sz w:val="22"/>
        </w:rPr>
        <w:t>Scene Hub es una aplicación monolítica Laravel con una interfaz de página única. Laravel concentra autenticación, autorización, validación, persistencia y entrega de archivos. React administra navegación, formularios, selección de datos y visualización; se sirve a través de una vista Blade común.</w:t>
      </w:r>
    </w:p>
    <w:p>
      <w:pPr>
        <w:keepNext/>
        <w:spacing w:before="180" w:after="120"/>
        <w:jc w:val="center"/>
      </w:pPr>
      <w:r>
        <w:rPr>
          <w:rFonts w:ascii="Times New Roman" w:hAnsi="Times New Roman"/>
          <w:b/>
          <w:sz w:val="22"/>
        </w:rPr>
        <w:t>Tabla 3. Arquitectura tecnológica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507"/>
        <w:gridCol w:w="2957"/>
        <w:gridCol w:w="4896"/>
      </w:tblGrid>
      <w:tr>
        <w:trPr>
          <w:cantSplit/>
          <w:tblHeader/>
        </w:trPr>
        <w:tc>
          <w:tcPr>
            <w:tcW w:type="dxa" w:w="150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Capa</w:t>
            </w:r>
          </w:p>
        </w:tc>
        <w:tc>
          <w:tcPr>
            <w:tcW w:type="dxa" w:w="295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Tecnología declarada</w:t>
            </w:r>
          </w:p>
        </w:tc>
        <w:tc>
          <w:tcPr>
            <w:tcW w:type="dxa" w:w="489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Responsabilidad</w:t>
            </w:r>
          </w:p>
        </w:tc>
      </w:tr>
      <w:tr>
        <w:trPr>
          <w:cantSplit/>
        </w:trPr>
        <w:tc>
          <w:tcPr>
            <w:tcW w:type="dxa" w:w="150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Servidor</w:t>
            </w:r>
          </w:p>
        </w:tc>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PHP ^8.2 y Laravel ^12.0</w:t>
            </w:r>
          </w:p>
        </w:tc>
        <w:tc>
          <w:tcPr>
            <w:tcW w:type="dxa" w:w="489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Rutas, controladores, middleware y transacciones.</w:t>
            </w:r>
          </w:p>
        </w:tc>
      </w:tr>
      <w:tr>
        <w:trPr>
          <w:cantSplit/>
        </w:trPr>
        <w:tc>
          <w:tcPr>
            <w:tcW w:type="dxa" w:w="150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Interfaz</w:t>
            </w:r>
          </w:p>
        </w:tc>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React ^19.1.1 y Router ^7.9.1</w:t>
            </w:r>
          </w:p>
        </w:tc>
        <w:tc>
          <w:tcPr>
            <w:tcW w:type="dxa" w:w="489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Páginas y navegación del panel.</w:t>
            </w:r>
          </w:p>
        </w:tc>
      </w:tr>
      <w:tr>
        <w:trPr>
          <w:cantSplit/>
        </w:trPr>
        <w:tc>
          <w:tcPr>
            <w:tcW w:type="dxa" w:w="150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Construcción</w:t>
            </w:r>
          </w:p>
        </w:tc>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Vite ^7.0.7 y Tailwind ^4.0.0</w:t>
            </w:r>
          </w:p>
        </w:tc>
        <w:tc>
          <w:tcPr>
            <w:tcW w:type="dxa" w:w="489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Compilación y estilos; recursos propios en CSS.</w:t>
            </w:r>
          </w:p>
        </w:tc>
      </w:tr>
      <w:tr>
        <w:trPr>
          <w:cantSplit/>
        </w:trPr>
        <w:tc>
          <w:tcPr>
            <w:tcW w:type="dxa" w:w="150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HTTP del panel</w:t>
            </w:r>
          </w:p>
        </w:tc>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Axios ^1.11.0</w:t>
            </w:r>
          </w:p>
        </w:tc>
        <w:tc>
          <w:tcPr>
            <w:tcW w:type="dxa" w:w="489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Solicitudes JSON con sesión y recuperación CSRF.</w:t>
            </w:r>
          </w:p>
        </w:tc>
      </w:tr>
      <w:tr>
        <w:trPr>
          <w:cantSplit/>
        </w:trPr>
        <w:tc>
          <w:tcPr>
            <w:tcW w:type="dxa" w:w="150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Permisos</w:t>
            </w:r>
          </w:p>
        </w:tc>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Spatie Permission ^6.25</w:t>
            </w:r>
          </w:p>
        </w:tc>
        <w:tc>
          <w:tcPr>
            <w:tcW w:type="dxa" w:w="489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Roles globales y permisos directos por usuario.</w:t>
            </w:r>
          </w:p>
        </w:tc>
      </w:tr>
      <w:tr>
        <w:trPr>
          <w:cantSplit/>
        </w:trPr>
        <w:tc>
          <w:tcPr>
            <w:tcW w:type="dxa" w:w="150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Excel</w:t>
            </w:r>
          </w:p>
        </w:tc>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PhpSpreadsheet ^5.9</w:t>
            </w:r>
          </w:p>
        </w:tc>
        <w:tc>
          <w:tcPr>
            <w:tcW w:type="dxa" w:w="489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Lectura y validación de libros solares y emocionales.</w:t>
            </w:r>
          </w:p>
        </w:tc>
      </w:tr>
      <w:tr>
        <w:trPr>
          <w:cantSplit/>
        </w:trPr>
        <w:tc>
          <w:tcPr>
            <w:tcW w:type="dxa" w:w="150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Persistencia</w:t>
            </w:r>
          </w:p>
        </w:tc>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Eloquent y Query Builder</w:t>
            </w:r>
          </w:p>
        </w:tc>
        <w:tc>
          <w:tcPr>
            <w:tcW w:type="dxa" w:w="489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Modelos relacionales, inserciones por lotes y consultas.</w:t>
            </w:r>
          </w:p>
        </w:tc>
      </w:tr>
      <w:tr>
        <w:trPr>
          <w:cantSplit/>
        </w:trPr>
        <w:tc>
          <w:tcPr>
            <w:tcW w:type="dxa" w:w="150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Archivos</w:t>
            </w:r>
          </w:p>
        </w:tc>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Disco local y ZipArchive</w:t>
            </w:r>
          </w:p>
        </w:tc>
        <w:tc>
          <w:tcPr>
            <w:tcW w:type="dxa" w:w="489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Historial por directorios y descarga ZIP.</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Los rangos anteriores corresponden a composer.json y package.json, no a una declaración de versiones desplegadas. La conexión de base de datos se determina por configuración; config/database.php usa SQLite como valor predeterminado si no se define DB_CONNECTION. El Dockerfile incorpora soporte SQL Server y las pruebas utilizan SQLite en memoria.</w:t>
      </w:r>
    </w:p>
    <w:p>
      <w:pPr>
        <w:keepNext/>
        <w:spacing w:before="180" w:after="180"/>
        <w:jc w:val="both"/>
      </w:pPr>
      <w:r>
        <w:rPr>
          <w:rFonts w:ascii="Times New Roman" w:hAnsi="Times New Roman"/>
          <w:b/>
          <w:sz w:val="22"/>
        </w:rPr>
        <w:t>RECORRIDO DE UNA OPERACIÓN WEB</w:t>
      </w:r>
    </w:p>
    <w:p>
      <w:pPr>
        <w:widowControl/>
        <w:spacing w:line="276" w:lineRule="auto" w:before="180" w:after="180"/>
        <w:jc w:val="both"/>
      </w:pPr>
      <w:r>
        <w:rPr>
          <w:rFonts w:ascii="Times New Roman" w:hAnsi="Times New Roman"/>
          <w:sz w:val="22"/>
        </w:rPr>
        <w:t>Navegador → React y Axios → ruta web Laravel → sesión y cuenta activa → permiso del módulo → acceso al escenario cuando corresponde → controlador → servicio de importación → base de datos y almacenamiento → respuesta JSON → actualización de la vista.</w:t>
      </w:r>
    </w:p>
    <w:p>
      <w:pPr>
        <w:keepNext/>
        <w:spacing w:before="180" w:after="180"/>
        <w:jc w:val="both"/>
      </w:pPr>
      <w:r>
        <w:rPr>
          <w:rFonts w:ascii="Times New Roman" w:hAnsi="Times New Roman"/>
          <w:b/>
          <w:sz w:val="22"/>
        </w:rPr>
        <w:t>RECORRIDO DE UNA CONSULTA EXTERNA</w:t>
      </w:r>
    </w:p>
    <w:p>
      <w:pPr>
        <w:widowControl/>
        <w:spacing w:line="276" w:lineRule="auto" w:before="180" w:after="180"/>
        <w:jc w:val="both"/>
      </w:pPr>
      <w:r>
        <w:rPr>
          <w:rFonts w:ascii="Times New Roman" w:hAnsi="Times New Roman"/>
          <w:sz w:val="22"/>
        </w:rPr>
        <w:t>Unity u otro cliente HTTP → ruta /api → resolución del recurso y validación de parámetros → consulta de datos o manifiesto → respuesta JSON. Estas rutas son públicas en la configuración actual y no heredan los controles de sesión del panel.</w:t>
      </w:r>
    </w:p>
    <w:p>
      <w:pPr>
        <w:keepNext/>
        <w:spacing w:before="180" w:after="180"/>
        <w:jc w:val="both"/>
      </w:pPr>
      <w:r>
        <w:rPr>
          <w:rFonts w:ascii="Times New Roman" w:hAnsi="Times New Roman"/>
          <w:b/>
          <w:sz w:val="22"/>
        </w:rPr>
        <w:t>LÍMITES ENTRE COMPONENTES</w:t>
      </w:r>
    </w:p>
    <w:p>
      <w:pPr>
        <w:widowControl/>
        <w:spacing w:line="276" w:lineRule="auto" w:before="180" w:after="180"/>
        <w:jc w:val="both"/>
      </w:pPr>
      <w:r>
        <w:rPr>
          <w:rFonts w:ascii="Times New Roman" w:hAnsi="Times New Roman"/>
          <w:sz w:val="22"/>
        </w:rPr>
        <w:t>ScenarioSolarImport valida la estructura solar; ScenarioEmotionImport valida y reemplaza datos emocionales; DataVersions registra publicaciones solares. Los controladores coordinan los casos de uso. La interfaz analiza transiciones solares, pero no modifica los valores científicos importados ni recalcula las categorías emocionales recibidas.</w:t>
      </w:r>
    </w:p>
    <w:p>
      <w:pPr>
        <w:keepNext/>
        <w:spacing w:before="180" w:after="180"/>
        <w:jc w:val="both"/>
      </w:pPr>
      <w:r>
        <w:rPr>
          <w:rFonts w:ascii="Times New Roman" w:hAnsi="Times New Roman"/>
          <w:b/>
          <w:sz w:val="22"/>
        </w:rPr>
        <w:t>3 MODELO DE DATOS Y RELACIONES</w:t>
      </w:r>
    </w:p>
    <w:p>
      <w:pPr>
        <w:keepNext/>
        <w:spacing w:before="180" w:after="120"/>
        <w:jc w:val="center"/>
      </w:pPr>
      <w:r>
        <w:rPr>
          <w:rFonts w:ascii="Times New Roman" w:hAnsi="Times New Roman"/>
          <w:b/>
          <w:sz w:val="22"/>
        </w:rPr>
        <w:t>Tabla 4. Modelo de datos y relaciones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023"/>
        <w:gridCol w:w="3585"/>
        <w:gridCol w:w="3752"/>
      </w:tblGrid>
      <w:tr>
        <w:trPr>
          <w:cantSplit/>
          <w:tblHeader/>
        </w:trPr>
        <w:tc>
          <w:tcPr>
            <w:tcW w:type="dxa" w:w="202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Entidad</w:t>
            </w:r>
          </w:p>
        </w:tc>
        <w:tc>
          <w:tcPr>
            <w:tcW w:type="dxa" w:w="3585"/>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Datos principales</w:t>
            </w:r>
          </w:p>
        </w:tc>
        <w:tc>
          <w:tcPr>
            <w:tcW w:type="dxa" w:w="3752"/>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Relación y regla</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users</w:t>
            </w:r>
          </w:p>
        </w:tc>
        <w:tc>
          <w:tcPr>
            <w:tcW w:type="dxa" w:w="35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Nombre, correo, contraseña, is_active</w:t>
            </w:r>
          </w:p>
        </w:tc>
        <w:tc>
          <w:tcPr>
            <w:tcW w:type="dxa" w:w="375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Cuenta con roles y permisos; contraseña oculta en JSON y cast hashed.</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esceanarios</w:t>
            </w:r>
          </w:p>
        </w:tc>
        <w:tc>
          <w:tcPr>
            <w:tcW w:type="dxa" w:w="35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Nombre, descripción, estado, owner_id, versiones, storage_directory</w:t>
            </w:r>
          </w:p>
        </w:tc>
        <w:tc>
          <w:tcPr>
            <w:tcW w:type="dxa" w:w="375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Nombre físico conservado con esa grafía. Un propietario y varios contenidos.</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escenarios_users</w:t>
            </w:r>
          </w:p>
        </w:tc>
        <w:tc>
          <w:tcPr>
            <w:tcW w:type="dxa" w:w="35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escenario_id, user_id, access_level, invited_by</w:t>
            </w:r>
          </w:p>
        </w:tc>
        <w:tc>
          <w:tcPr>
            <w:tcW w:type="dxa" w:w="375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Par escenario y usuario único; registra pertenencia e invitación.</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escenario_contenidos</w:t>
            </w:r>
          </w:p>
        </w:tc>
        <w:tc>
          <w:tcPr>
            <w:tcW w:type="dxa" w:w="35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Ruta, nombre, tipo, MIME, tamaño, versión, autor y modificador</w:t>
            </w:r>
          </w:p>
        </w:tc>
        <w:tc>
          <w:tcPr>
            <w:tcW w:type="dxa" w:w="375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Archivo asociado al escenario; las referencias al usuario pueden quedar nulas.</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solar_data</w:t>
            </w:r>
          </w:p>
        </w:tc>
        <w:tc>
          <w:tcPr>
            <w:tcW w:type="dxa" w:w="35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Archivo, escenario, tiempo, intervalo y 12 variables</w:t>
            </w:r>
          </w:p>
        </w:tc>
        <w:tc>
          <w:tcPr>
            <w:tcW w:type="dxa" w:w="375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Unicidad por archivo, intervalo y tiempo; índices para lectura temporal.</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data_versions</w:t>
            </w:r>
          </w:p>
        </w:tc>
        <w:tc>
          <w:tcPr>
            <w:tcW w:type="dxa" w:w="35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 archivo, tipo, revisión, versión y SHA256</w:t>
            </w:r>
          </w:p>
        </w:tc>
        <w:tc>
          <w:tcPr>
            <w:tcW w:type="dxa" w:w="375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Revisión única por escenario y tipo; contrato vigente limitado a solar.</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emotions</w:t>
            </w:r>
          </w:p>
        </w:tc>
        <w:tc>
          <w:tcPr>
            <w:tcW w:type="dxa" w:w="35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Persona, reunión, archivo, atención, probabilidades, emoción y calidad</w:t>
            </w:r>
          </w:p>
        </w:tc>
        <w:tc>
          <w:tcPr>
            <w:tcW w:type="dxa" w:w="375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Registros detallados independientes de escenarios; incluye origen y record_key.</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emotions_prom</w:t>
            </w:r>
          </w:p>
        </w:tc>
        <w:tc>
          <w:tcPr>
            <w:tcW w:type="dxa" w:w="35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Reunión, atención promedio y emoción ganadora promedio</w:t>
            </w:r>
          </w:p>
        </w:tc>
        <w:tc>
          <w:tcPr>
            <w:tcW w:type="dxa" w:w="375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Resumen categórico importado; sin id_persona ni versión emocional.</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emotion_members</w:t>
            </w:r>
          </w:p>
        </w:tc>
        <w:tc>
          <w:tcPr>
            <w:tcW w:type="dxa" w:w="35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Reunión, usuario, nivel y quien invita</w:t>
            </w:r>
          </w:p>
        </w:tc>
        <w:tc>
          <w:tcPr>
            <w:tcW w:type="dxa" w:w="375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Par reunión y usuario único; niveles manager y viewer.</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Tablas de permisos</w:t>
            </w:r>
          </w:p>
        </w:tc>
        <w:tc>
          <w:tcPr>
            <w:tcW w:type="dxa" w:w="35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roles, permissions y tablas de asociación</w:t>
            </w:r>
          </w:p>
        </w:tc>
        <w:tc>
          <w:tcPr>
            <w:tcW w:type="dxa" w:w="375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Spatie relaciona roles, usuarios y permisos directos.</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INTEGRIDAD Y TRAZABILIDAD</w:t>
      </w:r>
    </w:p>
    <w:p>
      <w:pPr>
        <w:widowControl/>
        <w:spacing w:line="276" w:lineRule="auto" w:before="180" w:after="180"/>
        <w:jc w:val="both"/>
      </w:pPr>
      <w:r>
        <w:rPr>
          <w:rFonts w:ascii="Times New Roman" w:hAnsi="Times New Roman"/>
          <w:sz w:val="22"/>
        </w:rPr>
        <w:t>La eliminación de un escenario propaga la eliminación de contenidos, filas solares y versiones mediante claves foráneas. El controlador también elimina su directorio de archivos. La base de datos y el sistema de archivos constituyen dos recursos distintos; la eliminación completa no está envuelta en la misma compensación usada para las cargas.</w:t>
      </w:r>
    </w:p>
    <w:p>
      <w:pPr>
        <w:widowControl/>
        <w:spacing w:line="276" w:lineRule="auto" w:before="180" w:after="180"/>
        <w:jc w:val="both"/>
      </w:pPr>
      <w:r>
        <w:rPr>
          <w:rFonts w:ascii="Times New Roman" w:hAnsi="Times New Roman"/>
          <w:sz w:val="22"/>
        </w:rPr>
        <w:t>En los archivos se conserva quién cargó y quién modificó, además del tamaño, MIME y fecha. En los datos emocionales se conserva el nombre source_file; ese nombre es trazabilidad de origen y no equivale a conservar una copia descargable del libro.</w:t>
      </w:r>
    </w:p>
    <w:p>
      <w:pPr>
        <w:keepNext/>
        <w:spacing w:before="180" w:after="180"/>
        <w:jc w:val="both"/>
      </w:pPr>
      <w:r>
        <w:rPr>
          <w:rFonts w:ascii="Times New Roman" w:hAnsi="Times New Roman"/>
          <w:b/>
          <w:sz w:val="22"/>
        </w:rPr>
        <w:t>SEPARACIÓN DE DOMINIOS</w:t>
      </w:r>
    </w:p>
    <w:p>
      <w:pPr>
        <w:widowControl/>
        <w:spacing w:line="276" w:lineRule="auto" w:before="180" w:after="180"/>
        <w:jc w:val="both"/>
      </w:pPr>
      <w:r>
        <w:rPr>
          <w:rFonts w:ascii="Times New Roman" w:hAnsi="Times New Roman"/>
          <w:sz w:val="22"/>
        </w:rPr>
        <w:t>Las migraciones del 15 de septiembre eliminan escenario_id de las tablas emocionales y retiran data_version_id del promedio. id_meeting es un identificador externo, sin clave foránea a una tabla local de webinars. La relación con el catálogo remoto se establece por valor de identificador.</w:t>
      </w:r>
    </w:p>
    <w:p>
      <w:pPr>
        <w:widowControl/>
        <w:spacing w:line="276" w:lineRule="auto" w:before="180" w:after="180"/>
        <w:jc w:val="both"/>
      </w:pPr>
      <w:r>
        <w:rPr>
          <w:rFonts w:ascii="Times New Roman" w:hAnsi="Times New Roman"/>
          <w:sz w:val="22"/>
        </w:rPr>
        <w:t>El esquema conserva tablas estándar de Laravel para sesiones, caché y colas según la configuración. Su presencia no acredita que las importaciones se ejecuten como trabajos en segundo plano: los flujos de carga revisados son síncronos.</w:t>
      </w:r>
    </w:p>
    <w:p>
      <w:pPr>
        <w:keepNext/>
        <w:spacing w:before="180" w:after="180"/>
        <w:jc w:val="both"/>
      </w:pPr>
      <w:r>
        <w:rPr>
          <w:rFonts w:ascii="Times New Roman" w:hAnsi="Times New Roman"/>
          <w:b/>
          <w:sz w:val="22"/>
        </w:rPr>
        <w:t>4 IDENTIDAD Y CONTROL DE ACCESO</w:t>
      </w:r>
    </w:p>
    <w:p>
      <w:pPr>
        <w:keepNext/>
        <w:spacing w:before="180" w:after="180"/>
        <w:jc w:val="both"/>
      </w:pPr>
      <w:r>
        <w:rPr>
          <w:rFonts w:ascii="Times New Roman" w:hAnsi="Times New Roman"/>
          <w:b/>
          <w:sz w:val="22"/>
        </w:rPr>
        <w:t>AUTENTICACIÓN POR SESIÓN</w:t>
      </w:r>
    </w:p>
    <w:p>
      <w:pPr>
        <w:widowControl/>
        <w:spacing w:line="276" w:lineRule="auto" w:before="180" w:after="180"/>
        <w:jc w:val="both"/>
      </w:pPr>
      <w:r>
        <w:rPr>
          <w:rFonts w:ascii="Times New Roman" w:hAnsi="Times New Roman"/>
          <w:sz w:val="22"/>
        </w:rPr>
        <w:t>POST /log-in valida correo y contraseña y ejecuta Auth::attempt. Un error de credenciales devuelve 401 con INVALID_CREDENTIALS; una cuenta inhabilitada devuelve 403 con ACCOUNT_DISABLED. El inicio correcto regenera la sesión y entrega nombre, correo, estado, roles, permisos y URL de redirección.</w:t>
      </w:r>
    </w:p>
    <w:p>
      <w:pPr>
        <w:widowControl/>
        <w:spacing w:line="276" w:lineRule="auto" w:before="180" w:after="180"/>
        <w:jc w:val="both"/>
      </w:pPr>
      <w:r>
        <w:rPr>
          <w:rFonts w:ascii="Times New Roman" w:hAnsi="Times New Roman"/>
          <w:sz w:val="22"/>
        </w:rPr>
        <w:t>El middleware active comprueba cada ruta web protegida. Si una cuenta se inhabilita mientras tiene sesión, cierra la autenticación, invalida la sesión y regenera CSRF. El cierre de sesión aplica el mismo saneamiento. /session-user consulta el contexto vigente del usuario.</w:t>
      </w:r>
    </w:p>
    <w:p>
      <w:pPr>
        <w:keepNext/>
        <w:spacing w:before="180" w:after="180"/>
        <w:jc w:val="both"/>
      </w:pPr>
      <w:r>
        <w:rPr>
          <w:rFonts w:ascii="Times New Roman" w:hAnsi="Times New Roman"/>
          <w:b/>
          <w:sz w:val="22"/>
        </w:rPr>
        <w:t>MODELO GLOBAL ACTUAL</w:t>
      </w:r>
    </w:p>
    <w:p>
      <w:pPr>
        <w:widowControl/>
        <w:spacing w:line="276" w:lineRule="auto" w:before="180" w:after="180"/>
        <w:jc w:val="both"/>
      </w:pPr>
      <w:r>
        <w:rPr>
          <w:rFonts w:ascii="Times New Roman" w:hAnsi="Times New Roman"/>
          <w:sz w:val="22"/>
        </w:rPr>
        <w:t>La ficha de usuario acepta los roles admin y usuario. Para usuario, el administrador habilita Escenarios, Emociones, ambos o ninguno. Cada módulo asigna un conjunto completo de permisos directos; el rol usuario no recibe permisos por defecto. admin obtiene los permisos del seeder y acceso a la administración de cuentas.</w:t>
      </w:r>
    </w:p>
    <w:p>
      <w:pPr>
        <w:keepNext/>
        <w:spacing w:before="180" w:after="120"/>
        <w:jc w:val="center"/>
      </w:pPr>
      <w:r>
        <w:rPr>
          <w:rFonts w:ascii="Times New Roman" w:hAnsi="Times New Roman"/>
          <w:b/>
          <w:sz w:val="22"/>
        </w:rPr>
        <w:t>Tabla 5. Permisos por módulo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744"/>
        <w:gridCol w:w="7616"/>
      </w:tblGrid>
      <w:tr>
        <w:trPr>
          <w:cantSplit/>
          <w:tblHeader/>
        </w:trPr>
        <w:tc>
          <w:tcPr>
            <w:tcW w:type="dxa" w:w="1744"/>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Asignación</w:t>
            </w:r>
          </w:p>
        </w:tc>
        <w:tc>
          <w:tcPr>
            <w:tcW w:type="dxa" w:w="761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Permisos del conjunto</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escenarios.leer, crear, actualizar, eliminar, invitar y versionar; archivos.leer y archivos.actualizar.</w:t>
            </w:r>
          </w:p>
        </w:tc>
      </w:tr>
      <w:tr>
        <w:trPr>
          <w:cantSplit/>
        </w:trPr>
        <w:tc>
          <w:tcPr>
            <w:tcW w:type="dxa" w:w="174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w:t>
            </w:r>
          </w:p>
        </w:tc>
        <w:tc>
          <w:tcPr>
            <w:tcW w:type="dxa" w:w="761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emociones.leer, emociones.cargar y emociones.invitar.</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Administración</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usuarios.gestionar y roles.gestionar existen en el catálogo; las rutas de administración exigen además role:admin.</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La actualización impide retirar o inhabilitar al último administrador activo. Una contraseña vacía al editar conserva la anterior; al crear se exigen al menos ocho caracteres. La eliminación de usuarios no tiene ruta activa y su método devuelve 501. La operación prevista para suspender acceso es is_active.</w:t>
      </w:r>
    </w:p>
    <w:p>
      <w:pPr>
        <w:keepNext/>
        <w:spacing w:before="180" w:after="180"/>
        <w:jc w:val="both"/>
      </w:pPr>
      <w:r>
        <w:rPr>
          <w:rFonts w:ascii="Times New Roman" w:hAnsi="Times New Roman"/>
          <w:b/>
          <w:sz w:val="22"/>
        </w:rPr>
        <w:t>ACCESO DENTRO DEL ESCENARIO</w:t>
      </w:r>
    </w:p>
    <w:p>
      <w:pPr>
        <w:keepNext/>
        <w:spacing w:before="180" w:after="120"/>
        <w:jc w:val="center"/>
      </w:pPr>
      <w:r>
        <w:rPr>
          <w:rFonts w:ascii="Times New Roman" w:hAnsi="Times New Roman"/>
          <w:b/>
          <w:sz w:val="22"/>
        </w:rPr>
        <w:t>Tabla 6. Niveles de acceso al escenario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562"/>
        <w:gridCol w:w="7798"/>
      </w:tblGrid>
      <w:tr>
        <w:trPr>
          <w:cantSplit/>
          <w:tblHeader/>
        </w:trPr>
        <w:tc>
          <w:tcPr>
            <w:tcW w:type="dxa" w:w="1562"/>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Nivel</w:t>
            </w:r>
          </w:p>
        </w:tc>
        <w:tc>
          <w:tcPr>
            <w:tcW w:type="dxa" w:w="7798"/>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Capacidad efectiva por rutas y controlador</w:t>
            </w:r>
          </w:p>
        </w:tc>
      </w:tr>
      <w:tr>
        <w:trPr>
          <w:cantSplit/>
        </w:trPr>
        <w:tc>
          <w:tcPr>
            <w:tcW w:type="dxa" w:w="15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owner</w:t>
            </w:r>
          </w:p>
        </w:tc>
        <w:tc>
          <w:tcPr>
            <w:tcW w:type="dxa" w:w="77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Consulta, descarga, edición, carga de versiones, gestión de miembros y eliminación, sujeto a permisos globales.</w:t>
            </w:r>
          </w:p>
        </w:tc>
      </w:tr>
      <w:tr>
        <w:trPr>
          <w:cantSplit/>
        </w:trPr>
        <w:tc>
          <w:tcPr>
            <w:tcW w:type="dxa" w:w="15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supervisor</w:t>
            </w:r>
          </w:p>
        </w:tc>
        <w:tc>
          <w:tcPr>
            <w:tcW w:type="dxa" w:w="77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Consulta y descarga; puede editar nombre, descripción y estado. No puede reemplazar archivos.</w:t>
            </w:r>
          </w:p>
        </w:tc>
      </w:tr>
      <w:tr>
        <w:trPr>
          <w:cantSplit/>
        </w:trPr>
        <w:tc>
          <w:tcPr>
            <w:tcW w:type="dxa" w:w="15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editor</w:t>
            </w:r>
          </w:p>
        </w:tc>
        <w:tc>
          <w:tcPr>
            <w:tcW w:type="dxa" w:w="77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Consulta y descarga. El nombre del nivel no habilita la ruta de edición ni la carga de versiones.</w:t>
            </w:r>
          </w:p>
        </w:tc>
      </w:tr>
      <w:tr>
        <w:trPr>
          <w:cantSplit/>
        </w:trPr>
        <w:tc>
          <w:tcPr>
            <w:tcW w:type="dxa" w:w="15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admin</w:t>
            </w:r>
          </w:p>
        </w:tc>
        <w:tc>
          <w:tcPr>
            <w:tcW w:type="dxa" w:w="77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Consulta global, corrección del nombre y eliminación. No puede crear escenarios; gestionar miembros exige ser propietario.</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El seeder migra roles históricos a usuario con permisos directos. Sin embargo, invite todavía exige cliente, gestor_escenarios o consulta al destinatario. Una cuenta creada con el modelo actual puede ser rechazada aunque tenga el módulo habilitado. Esta incompatibilidad debe corregirse antes de considerar completo el flujo colaborativo.</w:t>
      </w:r>
    </w:p>
    <w:p>
      <w:pPr>
        <w:keepNext/>
        <w:spacing w:before="180" w:after="180"/>
        <w:jc w:val="both"/>
      </w:pPr>
      <w:r>
        <w:rPr>
          <w:rFonts w:ascii="Times New Roman" w:hAnsi="Times New Roman"/>
          <w:b/>
          <w:sz w:val="22"/>
        </w:rPr>
        <w:t>5 GESTIÓN DEL CICLO DE UN ESCENARIO</w:t>
      </w:r>
    </w:p>
    <w:p>
      <w:pPr>
        <w:keepNext/>
        <w:spacing w:before="180" w:after="180"/>
        <w:jc w:val="both"/>
      </w:pPr>
      <w:r>
        <w:rPr>
          <w:rFonts w:ascii="Times New Roman" w:hAnsi="Times New Roman"/>
          <w:b/>
          <w:sz w:val="22"/>
        </w:rPr>
        <w:t>CREACIÓN Y ORGANIZACIÓN</w:t>
      </w:r>
    </w:p>
    <w:p>
      <w:pPr>
        <w:widowControl/>
        <w:spacing w:line="276" w:lineRule="auto" w:before="180" w:after="180"/>
        <w:jc w:val="both"/>
      </w:pPr>
      <w:r>
        <w:rPr>
          <w:rFonts w:ascii="Times New Roman" w:hAnsi="Times New Roman"/>
          <w:sz w:val="22"/>
        </w:rPr>
        <w:t>Crear un escenario requiere escenarios.crear, nombre único de hasta 255 caracteres, descripción de hasta 2.000 caracteres y entre uno y diez archivos. Cada archivo admite hasta 51.200 KiB y debe ser XLSX, XLS, DOC o DOCX. El formulario actual permite seleccionar varios documentos en una sola operación.</w:t>
      </w:r>
    </w:p>
    <w:p>
      <w:pPr>
        <w:widowControl/>
        <w:spacing w:line="276" w:lineRule="auto" w:before="180" w:after="180"/>
        <w:jc w:val="both"/>
      </w:pPr>
      <w:r>
        <w:rPr>
          <w:rFonts w:ascii="Times New Roman" w:hAnsi="Times New Roman"/>
          <w:sz w:val="22"/>
        </w:rPr>
        <w:t>El servidor asigna al creador como owner, añade su pertenencia en escenarios_users, establece estado Activo y versión inicial 1.0. Guarda un directorio estable con identificador y nombre normalizado. Cambiar después el nombre visible no renombra el almacenamiento.</w:t>
      </w:r>
    </w:p>
    <w:p>
      <w:pPr>
        <w:keepNext/>
        <w:spacing w:before="180" w:after="80"/>
        <w:jc w:val="center"/>
      </w:pPr>
      <w:r>
        <w:drawing>
          <wp:inline>
            <wp:extent cx="5806440" cy="2867569"/>
            <wp:docPr id="1" name="Picture 1" descr="Biblioteca de contenidos de Scene Hub con dos escenarios activos y controles para agregar escenarios y archivos." title="Figura 1. Biblioteca de contenidos y escenarios disponibles"/>
            <wp:cNvGraphicFramePr>
              <a:graphicFrameLocks noChangeAspect="1"/>
            </wp:cNvGraphicFramePr>
            <a:graphic>
              <a:graphicData uri="http://schemas.openxmlformats.org/drawingml/2006/picture">
                <pic:pic>
                  <pic:nvPicPr>
                    <pic:cNvPr id="0" name="figura-01-biblioteca-escenarios.png" descr="Biblioteca de contenidos de Scene Hub con dos escenarios activos y controles para agregar escenarios y archivos." title="Figura 1. Biblioteca de contenidos y escenarios disponibles"/>
                    <pic:cNvPicPr/>
                  </pic:nvPicPr>
                  <pic:blipFill>
                    <a:blip r:embed="rId7"/>
                    <a:stretch>
                      <a:fillRect/>
                    </a:stretch>
                  </pic:blipFill>
                  <pic:spPr>
                    <a:xfrm>
                      <a:off x="0" y="0"/>
                      <a:ext cx="5806440" cy="2867569"/>
                    </a:xfrm>
                    <a:prstGeom prst="rect"/>
                  </pic:spPr>
                </pic:pic>
              </a:graphicData>
            </a:graphic>
          </wp:inline>
        </w:drawing>
      </w:r>
    </w:p>
    <w:p>
      <w:pPr>
        <w:keepLines/>
        <w:widowControl/>
        <w:spacing w:before="0" w:after="180"/>
        <w:jc w:val="center"/>
      </w:pPr>
      <w:r>
        <w:rPr>
          <w:rFonts w:ascii="Times New Roman" w:hAnsi="Times New Roman"/>
          <w:b/>
          <w:sz w:val="22"/>
        </w:rPr>
        <w:t>Figura 1. Biblioteca de contenidos y escenarios disponibles. Fuente: captura de la interfaz de Scene Hub, 17 de septiembre de 2026.</w:t>
      </w:r>
    </w:p>
    <w:p>
      <w:pPr>
        <w:widowControl/>
        <w:spacing w:line="240" w:lineRule="auto" w:before="180" w:after="180"/>
        <w:jc w:val="both"/>
      </w:pPr>
      <w:r>
        <w:rPr>
          <w:rFonts w:ascii="Consolas" w:hAnsi="Consolas"/>
          <w:sz w:val="18"/>
        </w:rPr>
        <w:t>storage/app/public/escenarios/{id}-{nombre}/1.0/</w:t>
        <w:br/>
        <w:t xml:space="preserve">    resultados.xlsx</w:t>
        <w:br/>
        <w:t xml:space="preserve">    referencia.xlsx</w:t>
        <w:br/>
        <w:t xml:space="preserve">    manual.docx</w:t>
      </w:r>
    </w:p>
    <w:p>
      <w:pPr>
        <w:keepNext/>
        <w:spacing w:before="180" w:after="180"/>
        <w:jc w:val="both"/>
      </w:pPr>
      <w:r>
        <w:rPr>
          <w:rFonts w:ascii="Times New Roman" w:hAnsi="Times New Roman"/>
          <w:b/>
          <w:sz w:val="22"/>
        </w:rPr>
        <w:t>ACTUALIZACIÓN Y COLABORACIÓN</w:t>
      </w:r>
    </w:p>
    <w:p>
      <w:pPr>
        <w:widowControl/>
        <w:spacing w:line="276" w:lineRule="auto" w:before="180" w:after="180"/>
        <w:jc w:val="both"/>
      </w:pPr>
      <w:r>
        <w:rPr>
          <w:rFonts w:ascii="Times New Roman" w:hAnsi="Times New Roman"/>
          <w:sz w:val="22"/>
        </w:rPr>
        <w:t>El propietario puede modificar metadatos, añadir hasta diez archivos desde la operación de contenidos y reemplazar un archivo desde la edición del escenario. El supervisor puede modificar metadatos, pero no reemplazar archivos. Para un administrador, la actualización se limita a corregir el nombre; el controlador no aplica la edición operativa completa.</w:t>
      </w:r>
    </w:p>
    <w:p>
      <w:pPr>
        <w:widowControl/>
        <w:spacing w:line="276" w:lineRule="auto" w:before="180" w:after="180"/>
        <w:jc w:val="both"/>
      </w:pPr>
      <w:r>
        <w:rPr>
          <w:rFonts w:ascii="Times New Roman" w:hAnsi="Times New Roman"/>
          <w:sz w:val="22"/>
        </w:rPr>
        <w:t>Invitar significa asignar acceso a una cuenta existente mediante su correo. No se envía un mensaje de correo ni se crea una cuenta. El propietario elige supervisor o editor. Retirar un miembro elimina la asociación al escenario y conserva la cuenta. La incompatibilidad con el rol usuario descrita en la sección anterior afecta esta operación.</w:t>
      </w:r>
    </w:p>
    <w:p>
      <w:pPr>
        <w:keepNext/>
        <w:spacing w:before="180" w:after="180"/>
        <w:jc w:val="both"/>
      </w:pPr>
      <w:r>
        <w:rPr>
          <w:rFonts w:ascii="Times New Roman" w:hAnsi="Times New Roman"/>
          <w:b/>
          <w:sz w:val="22"/>
        </w:rPr>
        <w:t>ALMACENAMIENTO DE VERSIONES</w:t>
      </w:r>
    </w:p>
    <w:p>
      <w:pPr>
        <w:widowControl/>
        <w:spacing w:line="276" w:lineRule="auto" w:before="180" w:after="180"/>
        <w:jc w:val="both"/>
      </w:pPr>
      <w:r>
        <w:rPr>
          <w:rFonts w:ascii="Times New Roman" w:hAnsi="Times New Roman"/>
          <w:sz w:val="22"/>
        </w:rPr>
        <w:t>storeScenarioFile compara SHA256 de los bytes con el archivo del mismo nombre en la última carpeta donde existe. Si es idéntico, reutiliza la ruta y no guarda otra copia. Si cambia, copia la carpeta de la versión actual a una nueva versión incrementada en 0.1 y sustituye el archivo. Restaurar un resultado antiguo después de uno distinto se interpreta como una nueva variación.</w:t>
      </w:r>
    </w:p>
    <w:p>
      <w:pPr>
        <w:widowControl/>
        <w:spacing w:line="276" w:lineRule="auto" w:before="180" w:after="180"/>
        <w:jc w:val="both"/>
      </w:pPr>
      <w:r>
        <w:rPr>
          <w:rFonts w:ascii="Times New Roman" w:hAnsi="Times New Roman"/>
          <w:sz w:val="22"/>
        </w:rPr>
        <w:t>Los nombres nuevos se agregan a la carpeta de la versión vigente. Los documentos Word y los Excel que no coinciden con el esquema solar se conservan como tipo documento y quedan disponibles para descarga. Un Excel reconocido se marca como datos, persiste sus mediciones y puede originar una publicación solar.</w:t>
      </w:r>
    </w:p>
    <w:p>
      <w:pPr>
        <w:keepNext/>
        <w:spacing w:before="180" w:after="80"/>
        <w:jc w:val="center"/>
      </w:pPr>
      <w:r>
        <w:drawing>
          <wp:inline>
            <wp:extent cx="5806440" cy="2867569"/>
            <wp:docPr id="2" name="Picture 2" descr="Pestaña Versiones del escenario de caso 1 con la versión 1.0, tres archivos, fechas de modificación y controles de descarga." title="Figura 2. Historial de versiones y archivos incluidos en una publicación del escenario"/>
            <wp:cNvGraphicFramePr>
              <a:graphicFrameLocks noChangeAspect="1"/>
            </wp:cNvGraphicFramePr>
            <a:graphic>
              <a:graphicData uri="http://schemas.openxmlformats.org/drawingml/2006/picture">
                <pic:pic>
                  <pic:nvPicPr>
                    <pic:cNvPr id="0" name="figura-02-historial-versiones.png" descr="Pestaña Versiones del escenario de caso 1 con la versión 1.0, tres archivos, fechas de modificación y controles de descarga." title="Figura 2. Historial de versiones y archivos incluidos en una publicación del escenario"/>
                    <pic:cNvPicPr/>
                  </pic:nvPicPr>
                  <pic:blipFill>
                    <a:blip r:embed="rId14"/>
                    <a:stretch>
                      <a:fillRect/>
                    </a:stretch>
                  </pic:blipFill>
                  <pic:spPr>
                    <a:xfrm>
                      <a:off x="0" y="0"/>
                      <a:ext cx="5806440" cy="2867569"/>
                    </a:xfrm>
                    <a:prstGeom prst="rect"/>
                  </pic:spPr>
                </pic:pic>
              </a:graphicData>
            </a:graphic>
          </wp:inline>
        </w:drawing>
      </w:r>
    </w:p>
    <w:p>
      <w:pPr>
        <w:keepLines/>
        <w:widowControl/>
        <w:spacing w:before="0" w:after="180"/>
        <w:jc w:val="center"/>
      </w:pPr>
      <w:r>
        <w:rPr>
          <w:rFonts w:ascii="Times New Roman" w:hAnsi="Times New Roman"/>
          <w:b/>
          <w:sz w:val="22"/>
        </w:rPr>
        <w:t>Figura 2. Historial de versiones y archivos incluidos en una publicación del escenario. Fuente: captura de la interfaz de Scene Hub, 17 de septiembre de 2026.</w:t>
      </w:r>
    </w:p>
    <w:p>
      <w:pPr>
        <w:keepNext/>
        <w:spacing w:before="180" w:after="180"/>
        <w:jc w:val="both"/>
      </w:pPr>
      <w:r>
        <w:rPr>
          <w:rFonts w:ascii="Times New Roman" w:hAnsi="Times New Roman"/>
          <w:b/>
          <w:sz w:val="22"/>
        </w:rPr>
        <w:t>TRANSACCIONES Y DESCARGAS</w:t>
      </w:r>
    </w:p>
    <w:p>
      <w:pPr>
        <w:widowControl/>
        <w:spacing w:line="276" w:lineRule="auto" w:before="180" w:after="180"/>
        <w:jc w:val="both"/>
      </w:pPr>
      <w:r>
        <w:rPr>
          <w:rFonts w:ascii="Times New Roman" w:hAnsi="Times New Roman"/>
          <w:sz w:val="22"/>
        </w:rPr>
        <w:t>Las cargas bloquean la fila del escenario con lockForUpdate dentro de una transacción. Ante un error, withScenarioFiles revierte la base de datos y elimina rutas creadas durante la operación. La importación solar se registra por archivo y se publica mediante DataVersions.</w:t>
      </w:r>
    </w:p>
    <w:p>
      <w:pPr>
        <w:widowControl/>
        <w:spacing w:line="276" w:lineRule="auto" w:before="180" w:after="180"/>
        <w:jc w:val="both"/>
      </w:pPr>
      <w:r>
        <w:rPr>
          <w:rFonts w:ascii="Times New Roman" w:hAnsi="Times New Roman"/>
          <w:sz w:val="22"/>
        </w:rPr>
        <w:t>La descarga individual comprueba que el contenido pertenezca al escenario y que el archivo exista. La descarga completa genera un ZIP temporal con todas las carpetas y archivos del escenario, incluido su historial; elimina el ZIP temporal al enviarlo. La eliminación del escenario está restringida al propietario o administrador con permiso global.</w:t>
      </w:r>
    </w:p>
    <w:p>
      <w:pPr>
        <w:keepNext/>
        <w:spacing w:before="180" w:after="80"/>
        <w:jc w:val="center"/>
      </w:pPr>
      <w:r>
        <w:drawing>
          <wp:inline>
            <wp:extent cx="5806440" cy="2867569"/>
            <wp:docPr id="3" name="Picture 3" descr="Detalle del escenario de caso 2 con dos archivos, versión, autor, fecha de actualización y opción de descarga." title="Figura 3. Detalle de un escenario, contenidos asociados y descarga del paquete"/>
            <wp:cNvGraphicFramePr>
              <a:graphicFrameLocks noChangeAspect="1"/>
            </wp:cNvGraphicFramePr>
            <a:graphic>
              <a:graphicData uri="http://schemas.openxmlformats.org/drawingml/2006/picture">
                <pic:pic>
                  <pic:nvPicPr>
                    <pic:cNvPr id="0" name="figura-03-detalle-escenario.png" descr="Detalle del escenario de caso 2 con dos archivos, versión, autor, fecha de actualización y opción de descarga." title="Figura 3. Detalle de un escenario, contenidos asociados y descarga del paquete"/>
                    <pic:cNvPicPr/>
                  </pic:nvPicPr>
                  <pic:blipFill>
                    <a:blip r:embed="rId15"/>
                    <a:stretch>
                      <a:fillRect/>
                    </a:stretch>
                  </pic:blipFill>
                  <pic:spPr>
                    <a:xfrm>
                      <a:off x="0" y="0"/>
                      <a:ext cx="5806440" cy="2867569"/>
                    </a:xfrm>
                    <a:prstGeom prst="rect"/>
                  </pic:spPr>
                </pic:pic>
              </a:graphicData>
            </a:graphic>
          </wp:inline>
        </w:drawing>
      </w:r>
    </w:p>
    <w:p>
      <w:pPr>
        <w:keepLines/>
        <w:widowControl/>
        <w:spacing w:before="0" w:after="180"/>
        <w:jc w:val="center"/>
      </w:pPr>
      <w:r>
        <w:rPr>
          <w:rFonts w:ascii="Times New Roman" w:hAnsi="Times New Roman"/>
          <w:b/>
          <w:sz w:val="22"/>
        </w:rPr>
        <w:t>Figura 3. Detalle de un escenario, contenidos asociados y descarga del paquete. Fuente: captura de la interfaz de Scene Hub, 17 de septiembre de 2026.</w:t>
      </w:r>
    </w:p>
    <w:p>
      <w:pPr>
        <w:keepNext/>
        <w:spacing w:before="180" w:after="180"/>
        <w:jc w:val="both"/>
      </w:pPr>
      <w:r>
        <w:rPr>
          <w:rFonts w:ascii="Times New Roman" w:hAnsi="Times New Roman"/>
          <w:b/>
          <w:sz w:val="22"/>
        </w:rPr>
        <w:t>6 CONTRATO DE IMPORTACIÓN SOLAR</w:t>
      </w:r>
    </w:p>
    <w:p>
      <w:pPr>
        <w:widowControl/>
        <w:spacing w:line="276" w:lineRule="auto" w:before="180" w:after="180"/>
        <w:jc w:val="both"/>
      </w:pPr>
      <w:r>
        <w:rPr>
          <w:rFonts w:ascii="Times New Roman" w:hAnsi="Times New Roman"/>
          <w:sz w:val="22"/>
        </w:rPr>
        <w:t>ScenarioSolarImport reconoce por estructura cualquier XLSX o XLS, sin exigir un nombre específico. Debe contener las cuatro hojas Minutos, Cada5min, Cada10min y Horas. Cada hoja requiere 13 columnas y como máximo 10.000 registros. OFFICIAL_FILENAME permanece únicamente como constante obsoleta para compatibilidad y pruebas.</w:t>
      </w:r>
    </w:p>
    <w:p>
      <w:pPr>
        <w:keepNext/>
        <w:spacing w:before="180" w:after="120"/>
        <w:jc w:val="center"/>
      </w:pPr>
      <w:r>
        <w:rPr>
          <w:rFonts w:ascii="Times New Roman" w:hAnsi="Times New Roman"/>
          <w:b/>
          <w:sz w:val="22"/>
        </w:rPr>
        <w:t>Tabla 7. Contrato de campos solares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818"/>
        <w:gridCol w:w="2985"/>
        <w:gridCol w:w="3557"/>
      </w:tblGrid>
      <w:tr>
        <w:trPr>
          <w:cantSplit/>
          <w:tblHeader/>
        </w:trPr>
        <w:tc>
          <w:tcPr>
            <w:tcW w:type="dxa" w:w="2818"/>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Columna del libro</w:t>
            </w:r>
          </w:p>
        </w:tc>
        <w:tc>
          <w:tcPr>
            <w:tcW w:type="dxa" w:w="2985"/>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Campo persistido</w:t>
            </w:r>
          </w:p>
        </w:tc>
        <w:tc>
          <w:tcPr>
            <w:tcW w:type="dxa" w:w="355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Unidad o regla</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Hora</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tiempo_minutos</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Entero no negativo; Horas se multiplica por 60.</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Caudal</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caudal</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m³/h</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Radiación solar</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radiacion_solar</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W/m²</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Teperatura o Temperatura</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temperatura</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 admite ambas grafías normalizadas.</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Velocidad del viento</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velocidad_viento</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m/s</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Potencia solar</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potencia_solar</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W</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Potencia neta</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potencia_neta</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W</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Energía almacenada</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energia_almacenada</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Libro rotulado W; unidad pendiente de validación.</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Consumo planta</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consumo_planta</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W</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Agua desalinizada</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agua_desalinizada</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m³</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Salmuera</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salmuera</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m³</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Lodos gruesos</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lodos_gruesos</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Entero de paquetes de 10 kg.</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Lodos finos</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lodos_finos</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Entero de paquetes de 10 kg.</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REGLAS DE VALIDACIÓN</w:t>
      </w:r>
    </w:p>
    <w:p>
      <w:pPr>
        <w:widowControl/>
        <w:spacing w:line="276" w:lineRule="auto" w:before="180" w:after="180"/>
        <w:jc w:val="both"/>
      </w:pPr>
      <w:r>
        <w:rPr>
          <w:rFonts w:ascii="Times New Roman" w:hAnsi="Times New Roman"/>
          <w:sz w:val="22"/>
        </w:rPr>
        <w:t>Los encabezados deben corresponder al formato y sus unidades, sin duplicados. Se normalizan acentos, símbolos y separadores, y se localizan las columnas por encabezado, por lo que su orden puede variar. Una hoja requerida ausente, repetida o sin mediciones hace que el archivo no sea reconocido como datos solares.</w:t>
      </w:r>
    </w:p>
    <w:p>
      <w:pPr>
        <w:widowControl/>
        <w:spacing w:line="276" w:lineRule="auto" w:before="180" w:after="180"/>
        <w:jc w:val="both"/>
      </w:pPr>
      <w:r>
        <w:rPr>
          <w:rFonts w:ascii="Times New Roman" w:hAnsi="Times New Roman"/>
          <w:sz w:val="22"/>
        </w:rPr>
        <w:t>El tiempo es obligatorio, no puede repetirse dentro de una hoja y debe ser múltiplo del intervalo de 1, 5, 10 o 60 minutos. Tiempo y paquetes se validan como enteros no negativos. Las demás mediciones admiten null cuando están vacías; los valores presentes deben ser numéricos finitos. Un Excel que no supera estas reglas se almacena como documento, sin publicar mediciones ni devolver un error específico del esquema solar.</w:t>
      </w:r>
    </w:p>
    <w:p>
      <w:pPr>
        <w:keepNext/>
        <w:spacing w:before="180" w:after="180"/>
        <w:jc w:val="both"/>
      </w:pPr>
      <w:r>
        <w:rPr>
          <w:rFonts w:ascii="Times New Roman" w:hAnsi="Times New Roman"/>
          <w:b/>
          <w:sz w:val="22"/>
        </w:rPr>
        <w:t>PERSISTENCIA E INTERPRETACIÓN</w:t>
      </w:r>
    </w:p>
    <w:p>
      <w:pPr>
        <w:widowControl/>
        <w:spacing w:line="276" w:lineRule="auto" w:before="180" w:after="180"/>
        <w:jc w:val="both"/>
      </w:pPr>
      <w:r>
        <w:rPr>
          <w:rFonts w:ascii="Times New Roman" w:hAnsi="Times New Roman"/>
          <w:sz w:val="22"/>
        </w:rPr>
        <w:t>Se añaden intervalo_minutos, escenario_id y archivo_id a cada medición. La escritura elimina previamente las filas del archivo y las inserta en grupos de 100 dentro del flujo transaccional del escenario. La clave única impide duplicados de archivo, intervalo y tiempo.</w:t>
      </w:r>
    </w:p>
    <w:p>
      <w:pPr>
        <w:widowControl/>
        <w:spacing w:line="276" w:lineRule="auto" w:before="180" w:after="180"/>
        <w:jc w:val="both"/>
      </w:pPr>
      <w:r>
        <w:rPr>
          <w:rFonts w:ascii="Times New Roman" w:hAnsi="Times New Roman"/>
          <w:sz w:val="22"/>
        </w:rPr>
        <w:t>Las cuatro hojas se conservan como series independientes: el servidor no reconstruye la de cinco minutos promediando la de un minuto. Tampoco convierte la energía rotulada W a Wh ni transforma acumulados en tasas. Esto preserva el significado original y evita atribuir cálculos físicos que el sistema no realiza.</w:t>
      </w:r>
    </w:p>
    <w:p>
      <w:pPr>
        <w:keepNext/>
        <w:spacing w:before="180" w:after="180"/>
        <w:jc w:val="both"/>
      </w:pPr>
      <w:r>
        <w:rPr>
          <w:rFonts w:ascii="Times New Roman" w:hAnsi="Times New Roman"/>
          <w:b/>
          <w:sz w:val="22"/>
        </w:rPr>
        <w:t>7 CONSULTA Y ANÁLISIS DE RESULTADOS SOLARES</w:t>
      </w:r>
    </w:p>
    <w:p>
      <w:pPr>
        <w:keepNext/>
        <w:spacing w:before="180" w:after="180"/>
        <w:jc w:val="both"/>
      </w:pPr>
      <w:r>
        <w:rPr>
          <w:rFonts w:ascii="Times New Roman" w:hAnsi="Times New Roman"/>
          <w:b/>
          <w:sz w:val="22"/>
        </w:rPr>
        <w:t>SELECCIÓN DE INFORMACIÓN</w:t>
      </w:r>
    </w:p>
    <w:p>
      <w:pPr>
        <w:widowControl/>
        <w:spacing w:line="276" w:lineRule="auto" w:before="180" w:after="180"/>
        <w:jc w:val="both"/>
      </w:pPr>
      <w:r>
        <w:rPr>
          <w:rFonts w:ascii="Times New Roman" w:hAnsi="Times New Roman"/>
          <w:sz w:val="22"/>
        </w:rPr>
        <w:t>La vista de resultados consulta los escenarios accesibles y todas sus publicaciones solares. El usuario selecciona escenario, versión de datos y hoja de muestreo. La lista distingue la publicación más reciente de las históricas mediante data_version_id, version_datos y es_actual. Cada intervalo mantiene filtros propios: variable, rango temporal, umbral, evento y opción de mostrar solo cambios.</w:t>
      </w:r>
    </w:p>
    <w:p>
      <w:pPr>
        <w:keepNext/>
        <w:spacing w:before="180" w:after="80"/>
        <w:jc w:val="center"/>
      </w:pPr>
      <w:r>
        <w:drawing>
          <wp:inline>
            <wp:extent cx="5806440" cy="2867569"/>
            <wp:docPr id="4" name="Picture 4" descr="Pantalla de exposición de resultados con selección de escenario, versión de datos, resolución temporal, variable, rango, umbral y tipo de cambio." title="Figura 4. Selección de escenario y versión, resolución temporal y filtros para consultar resultados solares"/>
            <wp:cNvGraphicFramePr>
              <a:graphicFrameLocks noChangeAspect="1"/>
            </wp:cNvGraphicFramePr>
            <a:graphic>
              <a:graphicData uri="http://schemas.openxmlformats.org/drawingml/2006/picture">
                <pic:pic>
                  <pic:nvPicPr>
                    <pic:cNvPr id="0" name="figura-04-filtros-resultados.png" descr="Pantalla de exposición de resultados con selección de escenario, versión de datos, resolución temporal, variable, rango, umbral y tipo de cambio." title="Figura 4. Selección de escenario y versión, resolución temporal y filtros para consultar resultados solares"/>
                    <pic:cNvPicPr/>
                  </pic:nvPicPr>
                  <pic:blipFill>
                    <a:blip r:embed="rId16"/>
                    <a:stretch>
                      <a:fillRect/>
                    </a:stretch>
                  </pic:blipFill>
                  <pic:spPr>
                    <a:xfrm>
                      <a:off x="0" y="0"/>
                      <a:ext cx="5806440" cy="2867569"/>
                    </a:xfrm>
                    <a:prstGeom prst="rect"/>
                  </pic:spPr>
                </pic:pic>
              </a:graphicData>
            </a:graphic>
          </wp:inline>
        </w:drawing>
      </w:r>
    </w:p>
    <w:p>
      <w:pPr>
        <w:keepLines/>
        <w:widowControl/>
        <w:spacing w:before="0" w:after="180"/>
        <w:jc w:val="center"/>
      </w:pPr>
      <w:r>
        <w:rPr>
          <w:rFonts w:ascii="Times New Roman" w:hAnsi="Times New Roman"/>
          <w:b/>
          <w:sz w:val="22"/>
        </w:rPr>
        <w:t>Figura 4. Selección de escenario y versión, resolución temporal y filtros para consultar resultados solares. Fuente: captura de la interfaz de Scene Hub, 17 de septiembre de 2026.</w:t>
      </w:r>
    </w:p>
    <w:p>
      <w:pPr>
        <w:widowControl/>
        <w:spacing w:line="276" w:lineRule="auto" w:before="180" w:after="180"/>
        <w:jc w:val="both"/>
      </w:pPr>
      <w:r>
        <w:rPr>
          <w:rFonts w:ascii="Times New Roman" w:hAnsi="Times New Roman"/>
          <w:sz w:val="22"/>
        </w:rPr>
        <w:t>La respuesta adapta nombres como radiacion_solar a irradiancia_w_m2 y consumo_planta a potencia_consumida_planta_w. Las series completas se conservan dentro de archivos y la respuesta incluye además version_actual y un resumen versiones sin mediciones. La tabla se pagina en el navegador con 15 filas por defecto; la paginación no reduce el JSON recibido.</w:t>
      </w:r>
    </w:p>
    <w:p>
      <w:pPr>
        <w:keepNext/>
        <w:spacing w:before="180" w:after="180"/>
        <w:jc w:val="both"/>
      </w:pPr>
      <w:r>
        <w:rPr>
          <w:rFonts w:ascii="Times New Roman" w:hAnsi="Times New Roman"/>
          <w:b/>
          <w:sz w:val="22"/>
        </w:rPr>
        <w:t>ALGORITMO DE DETECCIÓN</w:t>
      </w:r>
    </w:p>
    <w:p>
      <w:pPr>
        <w:keepNext/>
        <w:spacing w:before="180" w:after="120"/>
        <w:jc w:val="center"/>
      </w:pPr>
      <w:r>
        <w:rPr>
          <w:rFonts w:ascii="Times New Roman" w:hAnsi="Times New Roman"/>
          <w:b/>
          <w:sz w:val="22"/>
        </w:rPr>
        <w:t>Tabla 8. Reglas de detección de cambios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511"/>
        <w:gridCol w:w="6849"/>
      </w:tblGrid>
      <w:tr>
        <w:trPr>
          <w:cantSplit/>
          <w:tblHeader/>
        </w:trPr>
        <w:tc>
          <w:tcPr>
            <w:tcW w:type="dxa" w:w="2511"/>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Situación</w:t>
            </w:r>
          </w:p>
        </w:tc>
        <w:tc>
          <w:tcPr>
            <w:tcW w:type="dxa" w:w="6849"/>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Regla implementada</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Inicio solar</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Valor anterior ≤ umbral y valor actual &gt; umbral.</w:t>
            </w:r>
          </w:p>
        </w:tc>
      </w:tr>
      <w:tr>
        <w:trPr>
          <w:cantSplit/>
        </w:trPr>
        <w:tc>
          <w:tcPr>
            <w:tcW w:type="dxa" w:w="2511"/>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Fin solar</w:t>
            </w:r>
          </w:p>
        </w:tc>
        <w:tc>
          <w:tcPr>
            <w:tcW w:type="dxa" w:w="6849"/>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Valor anterior &gt; umbral y valor actual ≤ umbral.</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Déficit de potencia neta</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Valor anterior ≥ 0 y valor actual &lt; 0.</w:t>
            </w:r>
          </w:p>
        </w:tc>
      </w:tr>
      <w:tr>
        <w:trPr>
          <w:cantSplit/>
        </w:trPr>
        <w:tc>
          <w:tcPr>
            <w:tcW w:type="dxa" w:w="2511"/>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Excedente de potencia neta</w:t>
            </w:r>
          </w:p>
        </w:tc>
        <w:tc>
          <w:tcPr>
            <w:tcW w:type="dxa" w:w="6849"/>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Valor anterior ≤ 0 y valor actual &gt; 0.</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Variación general</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Sin evento anterior aplicable, diferencia absoluta &gt; umbral.</w:t>
            </w:r>
          </w:p>
        </w:tc>
      </w:tr>
      <w:tr>
        <w:trPr>
          <w:cantSplit/>
        </w:trPr>
        <w:tc>
          <w:tcPr>
            <w:tcW w:type="dxa" w:w="2511"/>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Continuidad</w:t>
            </w:r>
          </w:p>
        </w:tc>
        <w:tc>
          <w:tcPr>
            <w:tcW w:type="dxa" w:w="6849"/>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Solo se detecta evento entre muestras consecutivas con diferencia temporal igual al intervalo y ambos valores presentes.</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detectChanges ordena por tiempo y analiza antes de filtrar el rango visible. Así, una fila conserva su predecesor aunque quede fuera del rango mostrado. El primer registro no genera una transición sin muestra anterior; tampoco se infiere una transición a través de huecos o valores ausentes.</w:t>
      </w:r>
    </w:p>
    <w:p>
      <w:pPr>
        <w:keepNext/>
        <w:spacing w:before="180" w:after="180"/>
        <w:jc w:val="both"/>
      </w:pPr>
      <w:r>
        <w:rPr>
          <w:rFonts w:ascii="Times New Roman" w:hAnsi="Times New Roman"/>
          <w:b/>
          <w:sz w:val="22"/>
        </w:rPr>
        <w:t>PRESENTACIÓN DE LOS RESULTADOS</w:t>
      </w:r>
    </w:p>
    <w:p>
      <w:pPr>
        <w:widowControl/>
        <w:spacing w:line="276" w:lineRule="auto" w:before="180" w:after="180"/>
        <w:jc w:val="both"/>
      </w:pPr>
      <w:r>
        <w:rPr>
          <w:rFonts w:ascii="Times New Roman" w:hAnsi="Times New Roman"/>
          <w:sz w:val="22"/>
        </w:rPr>
        <w:t>La interfaz muestra una gráfica SVG de puntos, resalta cambios y presenta una tabla con tiempo HH:MM, minuto, valor, valor anterior, diferencia y observación. El tiempo transcurrido puede superar 24 horas. Los null no se convierten a cero y no se dibujan como mediciones válidas.</w:t>
      </w:r>
    </w:p>
    <w:p>
      <w:pPr>
        <w:keepNext/>
        <w:spacing w:before="180" w:after="80"/>
        <w:jc w:val="center"/>
      </w:pPr>
      <w:r>
        <w:drawing>
          <wp:inline>
            <wp:extent cx="5806440" cy="2867569"/>
            <wp:docPr id="5" name="Picture 5" descr="Resultado solar con avisos de versión y unidad, gráfica de potencia solar, cambios resaltados y comienzo de la tabla temporal." title="Figura 5. Visualización de potencia solar, cambios detectados y tabla de trazabilidad temporal"/>
            <wp:cNvGraphicFramePr>
              <a:graphicFrameLocks noChangeAspect="1"/>
            </wp:cNvGraphicFramePr>
            <a:graphic>
              <a:graphicData uri="http://schemas.openxmlformats.org/drawingml/2006/picture">
                <pic:pic>
                  <pic:nvPicPr>
                    <pic:cNvPr id="0" name="figura-05-grafica-resultados.png" descr="Resultado solar con avisos de versión y unidad, gráfica de potencia solar, cambios resaltados y comienzo de la tabla temporal." title="Figura 5. Visualización de potencia solar, cambios detectados y tabla de trazabilidad temporal"/>
                    <pic:cNvPicPr/>
                  </pic:nvPicPr>
                  <pic:blipFill>
                    <a:blip r:embed="rId17"/>
                    <a:stretch>
                      <a:fillRect/>
                    </a:stretch>
                  </pic:blipFill>
                  <pic:spPr>
                    <a:xfrm>
                      <a:off x="0" y="0"/>
                      <a:ext cx="5806440" cy="2867569"/>
                    </a:xfrm>
                    <a:prstGeom prst="rect"/>
                  </pic:spPr>
                </pic:pic>
              </a:graphicData>
            </a:graphic>
          </wp:inline>
        </w:drawing>
      </w:r>
    </w:p>
    <w:p>
      <w:pPr>
        <w:keepLines/>
        <w:widowControl/>
        <w:spacing w:before="0" w:after="180"/>
        <w:jc w:val="center"/>
      </w:pPr>
      <w:r>
        <w:rPr>
          <w:rFonts w:ascii="Times New Roman" w:hAnsi="Times New Roman"/>
          <w:b/>
          <w:sz w:val="22"/>
        </w:rPr>
        <w:t>Figura 5. Visualización de potencia solar, cambios detectados y tabla de trazabilidad temporal. Fuente: captura de la interfaz de Scene Hub, 17 de septiembre de 2026.</w:t>
      </w:r>
    </w:p>
    <w:p>
      <w:pPr>
        <w:widowControl/>
        <w:spacing w:line="276" w:lineRule="auto" w:before="180" w:after="180"/>
        <w:jc w:val="both"/>
      </w:pPr>
      <w:r>
        <w:rPr>
          <w:rFonts w:ascii="Times New Roman" w:hAnsi="Times New Roman"/>
          <w:sz w:val="22"/>
        </w:rPr>
        <w:t>Para potencia solar se informa el primer inicio observado en la hoja por minuto completa, usando el umbral seleccionado. Esa referencia no cambia a una resolución menor solo porque el usuario consulte otra hoja. El botón Actualizar vuelve a solicitar los datos; no existe un canal de actualización en tiempo real en este flujo.</w:t>
      </w:r>
    </w:p>
    <w:p>
      <w:pPr>
        <w:keepNext/>
        <w:spacing w:before="180" w:after="180"/>
        <w:jc w:val="both"/>
      </w:pPr>
      <w:r>
        <w:rPr>
          <w:rFonts w:ascii="Times New Roman" w:hAnsi="Times New Roman"/>
          <w:b/>
          <w:sz w:val="22"/>
        </w:rPr>
        <w:t>LÍMITES CIENTÍFICOS</w:t>
      </w:r>
    </w:p>
    <w:p>
      <w:pPr>
        <w:widowControl/>
        <w:spacing w:line="276" w:lineRule="auto" w:before="180" w:after="180"/>
        <w:jc w:val="both"/>
      </w:pPr>
      <w:r>
        <w:rPr>
          <w:rFonts w:ascii="Times New Roman" w:hAnsi="Times New Roman"/>
          <w:sz w:val="22"/>
        </w:rPr>
        <w:t>El umbral inicial cero es una opción de exploración, no un criterio físico validado. Los incrementos de agua, salmuera o paquetes de lodos no equivalen a tasas de producción. energia_almacenada_wh se devuelve null y el dato original se mantiene separado hasta confirmar la unidad. La pantalla de Resultados se concentra en publicaciones solares reconocidas.</w:t>
      </w:r>
    </w:p>
    <w:p>
      <w:pPr>
        <w:keepNext/>
        <w:spacing w:before="180" w:after="180"/>
        <w:jc w:val="both"/>
      </w:pPr>
      <w:r>
        <w:rPr>
          <w:rFonts w:ascii="Times New Roman" w:hAnsi="Times New Roman"/>
          <w:b/>
          <w:sz w:val="22"/>
        </w:rPr>
        <w:t>8 PUBLICACIÓN SOLAR Y CONSUMO DESDE UNITY</w:t>
      </w:r>
    </w:p>
    <w:p>
      <w:pPr>
        <w:keepNext/>
        <w:spacing w:before="180" w:after="180"/>
        <w:jc w:val="both"/>
      </w:pPr>
      <w:r>
        <w:rPr>
          <w:rFonts w:ascii="Times New Roman" w:hAnsi="Times New Roman"/>
          <w:b/>
          <w:sz w:val="22"/>
        </w:rPr>
        <w:t>DOS VERSIONES CON PROPÓSITOS DISTINTOS</w:t>
      </w:r>
    </w:p>
    <w:p>
      <w:pPr>
        <w:widowControl/>
        <w:spacing w:line="276" w:lineRule="auto" w:before="180" w:after="180"/>
        <w:jc w:val="both"/>
      </w:pPr>
      <w:r>
        <w:rPr>
          <w:rFonts w:ascii="Times New Roman" w:hAnsi="Times New Roman"/>
          <w:sz w:val="22"/>
        </w:rPr>
        <w:t>La versión del archivo o paquete describe carpetas del escenario. La versión de datos describe cambios en el contenido solar normalizado. DataVersions ordena las claves de cada registro y las filas por intervalo y tiempo, serializa a JSON y calcula SHA256. Si coincide con el último conjunto publicado, conserva la revisión; si cambia, crea otra.</w:t>
      </w:r>
    </w:p>
    <w:p>
      <w:pPr>
        <w:widowControl/>
        <w:spacing w:line="276" w:lineRule="auto" w:before="180" w:after="180"/>
        <w:jc w:val="both"/>
      </w:pPr>
      <w:r>
        <w:rPr>
          <w:rFonts w:ascii="Times New Roman" w:hAnsi="Times New Roman"/>
          <w:sz w:val="22"/>
        </w:rPr>
        <w:t>La revisión interna comienza en 10, representada como la cadena 1.0; continúa 1.1, 1.2 y así sucesivamente. Una versión se maneja como texto, nunca como decimal de punto flotante en el cliente. El nombre o metadatos internos del Excel no bastan para generar una nueva versión de datos si las mediciones normalizadas no cambian.</w:t>
      </w:r>
    </w:p>
    <w:p>
      <w:pPr>
        <w:keepNext/>
        <w:spacing w:before="180" w:after="180"/>
        <w:jc w:val="both"/>
      </w:pPr>
      <w:r>
        <w:rPr>
          <w:rFonts w:ascii="Times New Roman" w:hAnsi="Times New Roman"/>
          <w:b/>
          <w:sz w:val="22"/>
        </w:rPr>
        <w:t>MANIFIESTO DE ACTUALIZACIÓN</w:t>
      </w:r>
    </w:p>
    <w:p>
      <w:pPr>
        <w:widowControl/>
        <w:spacing w:line="240" w:lineRule="auto" w:before="180" w:after="180"/>
        <w:jc w:val="both"/>
      </w:pPr>
      <w:r>
        <w:rPr>
          <w:rFonts w:ascii="Consolas" w:hAnsi="Consolas"/>
          <w:sz w:val="18"/>
        </w:rPr>
        <w:t>GET /api/escenarios/{id}/versiones-datos</w:t>
        <w:br/>
        <w:t xml:space="preserve">    ?tipo=solar&amp;version_actual=1.0&amp;sha256_actual={hash}</w:t>
      </w:r>
    </w:p>
    <w:p>
      <w:pPr>
        <w:keepNext/>
        <w:spacing w:before="180" w:after="120"/>
        <w:jc w:val="center"/>
      </w:pPr>
      <w:r>
        <w:rPr>
          <w:rFonts w:ascii="Times New Roman" w:hAnsi="Times New Roman"/>
          <w:b/>
          <w:sz w:val="22"/>
        </w:rPr>
        <w:t>Tabla 9. Estados del manifiesto de actualización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790"/>
        <w:gridCol w:w="6570"/>
      </w:tblGrid>
      <w:tr>
        <w:trPr>
          <w:cantSplit/>
          <w:tblHeader/>
        </w:trPr>
        <w:tc>
          <w:tcPr>
            <w:tcW w:type="dxa" w:w="2790"/>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Estado</w:t>
            </w:r>
          </w:p>
        </w:tc>
        <w:tc>
          <w:tcPr>
            <w:tcW w:type="dxa" w:w="6570"/>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Interpretación para el cliente</w:t>
            </w:r>
          </w:p>
        </w:tc>
      </w:tr>
      <w:tr>
        <w:trPr>
          <w:cantSplit/>
        </w:trPr>
        <w:tc>
          <w:tcPr>
            <w:tcW w:type="dxa" w:w="279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sin_datos</w:t>
            </w:r>
          </w:p>
        </w:tc>
        <w:tc>
          <w:tcPr>
            <w:tcW w:type="dxa" w:w="657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No existe una publicación solar para el escenario.</w:t>
            </w:r>
          </w:p>
        </w:tc>
      </w:tr>
      <w:tr>
        <w:trPr>
          <w:cantSplit/>
        </w:trPr>
        <w:tc>
          <w:tcPr>
            <w:tcW w:type="dxa" w:w="279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descarga_inicial</w:t>
            </w:r>
          </w:p>
        </w:tc>
        <w:tc>
          <w:tcPr>
            <w:tcW w:type="dxa" w:w="657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Existe publicación y no se envió version_actual.</w:t>
            </w:r>
          </w:p>
        </w:tc>
      </w:tr>
      <w:tr>
        <w:trPr>
          <w:cantSplit/>
        </w:trPr>
        <w:tc>
          <w:tcPr>
            <w:tcW w:type="dxa" w:w="279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sin_cambios</w:t>
            </w:r>
          </w:p>
        </w:tc>
        <w:tc>
          <w:tcPr>
            <w:tcW w:type="dxa" w:w="657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La versión coincide y no se detecta discrepancia del hash enviado.</w:t>
            </w:r>
          </w:p>
        </w:tc>
      </w:tr>
      <w:tr>
        <w:trPr>
          <w:cantSplit/>
        </w:trPr>
        <w:tc>
          <w:tcPr>
            <w:tcW w:type="dxa" w:w="279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actualizacion_disponible</w:t>
            </w:r>
          </w:p>
        </w:tc>
        <w:tc>
          <w:tcPr>
            <w:tcW w:type="dxa" w:w="657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La versión difiere o el hash difiere para la misma versión.</w:t>
            </w:r>
          </w:p>
        </w:tc>
      </w:tr>
      <w:tr>
        <w:trPr>
          <w:cantSplit/>
        </w:trPr>
        <w:tc>
          <w:tcPr>
            <w:tcW w:type="dxa" w:w="279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version_local_posterior</w:t>
            </w:r>
          </w:p>
        </w:tc>
        <w:tc>
          <w:tcPr>
            <w:tcW w:type="dxa" w:w="657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La versión local supera la del servidor; conservar y revisar antes de reemplazar.</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La respuesta incluye escenario_id, tipo, estado, mensaje, hay_datos, actualizacion_disponible, descarga_inicial, version, sha256, versiones y url_datos. El tipo permitido es solar. El hash recibido debe ser hexadecimal minúsculo de 64 caracteres y las versiones deben cumplir el patrón de dos grupos de dígitos separados por punto.</w:t>
      </w:r>
    </w:p>
    <w:p>
      <w:pPr>
        <w:keepNext/>
        <w:spacing w:before="180" w:after="180"/>
        <w:jc w:val="both"/>
      </w:pPr>
      <w:r>
        <w:rPr>
          <w:rFonts w:ascii="Times New Roman" w:hAnsi="Times New Roman"/>
          <w:b/>
          <w:sz w:val="22"/>
        </w:rPr>
        <w:t>DESCARGA Y CONSERVACIÓN LOCAL</w:t>
      </w:r>
    </w:p>
    <w:p>
      <w:pPr>
        <w:widowControl/>
        <w:spacing w:line="240" w:lineRule="auto" w:before="180" w:after="180"/>
        <w:jc w:val="both"/>
      </w:pPr>
      <w:r>
        <w:rPr>
          <w:rFonts w:ascii="Consolas" w:hAnsi="Consolas"/>
          <w:sz w:val="18"/>
        </w:rPr>
        <w:t>GET /api/escenarios/{id}/solar?version=1.1</w:t>
      </w:r>
    </w:p>
    <w:p>
      <w:pPr>
        <w:widowControl/>
        <w:spacing w:line="276" w:lineRule="auto" w:before="180" w:after="180"/>
        <w:jc w:val="both"/>
      </w:pPr>
      <w:r>
        <w:rPr>
          <w:rFonts w:ascii="Times New Roman" w:hAnsi="Times New Roman"/>
          <w:sz w:val="22"/>
        </w:rPr>
        <w:t>La descarga selecciona una publicación concreta y devuelve todas sus series en muestreos, con claves 1, 5, 10 y 60, además de unidades y advertencias. Una versión explícita inexistente produce 404. Sin versión se selecciona la última; si no hay datos, se entregan series vacías y hay_datos falso. Ambas respuestas de versiones usan Cache-Control: private, no-store.</w:t>
      </w:r>
    </w:p>
    <w:p>
      <w:pPr>
        <w:widowControl/>
        <w:spacing w:line="276" w:lineRule="auto" w:before="180" w:after="180"/>
        <w:jc w:val="both"/>
      </w:pPr>
      <w:r>
        <w:rPr>
          <w:rFonts w:ascii="Times New Roman" w:hAnsi="Times New Roman"/>
          <w:sz w:val="22"/>
        </w:rPr>
        <w:t>El contrato documentado para Unity propone guardar el JSON completo y sus metadatos por contexto, descargar mediante la URL de versión exacta y reemplazar la copia local solo tras validar y guardar correctamente. El SHA256 identifica los registros normalizados, no los bytes de la respuesta HTTP. Consultar el manifiesto no marca nada como descargado. Este repositorio implementa el servidor; el comportamiento de caché del cliente es un contrato de integración.</w:t>
      </w:r>
    </w:p>
    <w:p>
      <w:pPr>
        <w:keepNext/>
        <w:spacing w:before="180" w:after="180"/>
        <w:jc w:val="both"/>
      </w:pPr>
      <w:r>
        <w:rPr>
          <w:rFonts w:ascii="Times New Roman" w:hAnsi="Times New Roman"/>
          <w:b/>
          <w:sz w:val="22"/>
        </w:rPr>
        <w:t>9 GESTIÓN DE DATOS EMOCIONALES POR WEBINAR</w:t>
      </w:r>
    </w:p>
    <w:p>
      <w:pPr>
        <w:keepNext/>
        <w:spacing w:before="180" w:after="180"/>
        <w:jc w:val="both"/>
      </w:pPr>
      <w:r>
        <w:rPr>
          <w:rFonts w:ascii="Times New Roman" w:hAnsi="Times New Roman"/>
          <w:b/>
          <w:sz w:val="22"/>
        </w:rPr>
        <w:t>CATÁLOGO DE WEBINARS</w:t>
      </w:r>
    </w:p>
    <w:p>
      <w:pPr>
        <w:widowControl/>
        <w:spacing w:line="276" w:lineRule="auto" w:before="180" w:after="180"/>
        <w:jc w:val="both"/>
      </w:pPr>
      <w:r>
        <w:rPr>
          <w:rFonts w:ascii="Times New Roman" w:hAnsi="Times New Roman"/>
          <w:sz w:val="22"/>
        </w:rPr>
        <w:t>EmocionesController consulta https://bersticlive.org/api/meetings con un límite de espera de 15 segundos. Normaliza identificadores provenientes de id, id_meeting o meeting_id y títulos desde title o name. Después incorpora reuniones que tienen datos locales aunque no aparezcan en el catálogo remoto.</w:t>
      </w:r>
    </w:p>
    <w:p>
      <w:pPr>
        <w:widowControl/>
        <w:spacing w:line="276" w:lineRule="auto" w:before="180" w:after="180"/>
        <w:jc w:val="both"/>
      </w:pPr>
      <w:r>
        <w:rPr>
          <w:rFonts w:ascii="Times New Roman" w:hAnsi="Times New Roman"/>
          <w:sz w:val="22"/>
        </w:rPr>
        <w:t>Si la consulta externa falla, registra el error y continúa con las reuniones locales. El sistema puede mostrar Webinar seguido del identificador cuando no dispone de un título remoto. La integración vincula resultados por ID; no acredita creación de reuniones, videoconferencia, grabación ni procesamiento de video dentro de Scene Hub.</w:t>
      </w:r>
    </w:p>
    <w:p>
      <w:pPr>
        <w:keepNext/>
        <w:spacing w:before="180" w:after="80"/>
        <w:jc w:val="center"/>
      </w:pPr>
      <w:r>
        <w:drawing>
          <wp:inline>
            <wp:extent cx="5806440" cy="2867569"/>
            <wp:docPr id="6" name="Picture 6" descr="Módulo Emociones de Scene Hub con zona de carga de archivos y tarjetas de webinars disponibles." title="Figura 6. Catálogo emocional y carga de resultados asociados a webinars"/>
            <wp:cNvGraphicFramePr>
              <a:graphicFrameLocks noChangeAspect="1"/>
            </wp:cNvGraphicFramePr>
            <a:graphic>
              <a:graphicData uri="http://schemas.openxmlformats.org/drawingml/2006/picture">
                <pic:pic>
                  <pic:nvPicPr>
                    <pic:cNvPr id="0" name="figura-06-modulo-emociones.png" descr="Módulo Emociones de Scene Hub con zona de carga de archivos y tarjetas de webinars disponibles." title="Figura 6. Catálogo emocional y carga de resultados asociados a webinars"/>
                    <pic:cNvPicPr/>
                  </pic:nvPicPr>
                  <pic:blipFill>
                    <a:blip r:embed="rId18"/>
                    <a:stretch>
                      <a:fillRect/>
                    </a:stretch>
                  </pic:blipFill>
                  <pic:spPr>
                    <a:xfrm>
                      <a:off x="0" y="0"/>
                      <a:ext cx="5806440" cy="2867569"/>
                    </a:xfrm>
                    <a:prstGeom prst="rect"/>
                  </pic:spPr>
                </pic:pic>
              </a:graphicData>
            </a:graphic>
          </wp:inline>
        </w:drawing>
      </w:r>
    </w:p>
    <w:p>
      <w:pPr>
        <w:keepLines/>
        <w:widowControl/>
        <w:spacing w:before="0" w:after="180"/>
        <w:jc w:val="center"/>
      </w:pPr>
      <w:r>
        <w:rPr>
          <w:rFonts w:ascii="Times New Roman" w:hAnsi="Times New Roman"/>
          <w:b/>
          <w:sz w:val="22"/>
        </w:rPr>
        <w:t>Figura 6. Catálogo emocional y carga de resultados asociados a webinars. Fuente: captura de la interfaz de Scene Hub, 17 de septiembre de 2026.</w:t>
      </w:r>
    </w:p>
    <w:p>
      <w:pPr>
        <w:keepNext/>
        <w:spacing w:before="180" w:after="180"/>
        <w:jc w:val="both"/>
      </w:pPr>
      <w:r>
        <w:rPr>
          <w:rFonts w:ascii="Times New Roman" w:hAnsi="Times New Roman"/>
          <w:b/>
          <w:sz w:val="22"/>
        </w:rPr>
        <w:t>CARGA Y REEMPLAZO</w:t>
      </w:r>
    </w:p>
    <w:p>
      <w:pPr>
        <w:widowControl/>
        <w:spacing w:line="276" w:lineRule="auto" w:before="180" w:after="180"/>
        <w:jc w:val="both"/>
      </w:pPr>
      <w:r>
        <w:rPr>
          <w:rFonts w:ascii="Times New Roman" w:hAnsi="Times New Roman"/>
          <w:sz w:val="22"/>
        </w:rPr>
        <w:t>La carga se ejecuta únicamente en POST /emociones-data con sesión activa y permiso emociones.cargar. Recibe el campo multipart archivo, con máximo de 51.200 KiB. Se aceptan libros XLSX o XLS reales con una única hoja y hasta 100.000 filas. El identificador de reunión se toma de cada fila; un mismo archivo puede contener varias reuniones.</w:t>
      </w:r>
    </w:p>
    <w:p>
      <w:pPr>
        <w:widowControl/>
        <w:spacing w:line="276" w:lineRule="auto" w:before="180" w:after="180"/>
        <w:jc w:val="both"/>
      </w:pPr>
      <w:r>
        <w:rPr>
          <w:rFonts w:ascii="Times New Roman" w:hAnsi="Times New Roman"/>
          <w:sz w:val="22"/>
        </w:rPr>
        <w:t>El importador diferencia dos formatos: detalle de 17 columnas y promedio categórico de tres. Tras validar el libro, agrupa filas por id_meeting. Por cada reunión, elimina únicamente los datos del formato cargado y los reemplaza en una transacción, con lotes de 250 registros. Cargar promedio conserva detalle y cargar detalle conserva promedio; las reuniones no incluidas permanecen intactas.</w:t>
      </w:r>
    </w:p>
    <w:p>
      <w:pPr>
        <w:widowControl/>
        <w:spacing w:line="276" w:lineRule="auto" w:before="180" w:after="180"/>
        <w:jc w:val="both"/>
      </w:pPr>
      <w:r>
        <w:rPr>
          <w:rFonts w:ascii="Times New Roman" w:hAnsi="Times New Roman"/>
          <w:sz w:val="22"/>
        </w:rPr>
        <w:t>La validación ocurre antes de la persistencia. Un error de formato conserva los datos anteriores. Sin embargo, la transacción se ejecuta por reunión: si un fallo de escritura aparece en una reunión posterior, las reuniones anteriores del mismo archivo podrían haber quedado confirmadas. No existe una transacción global que abarque todos los grupos del archivo.</w:t>
      </w:r>
    </w:p>
    <w:p>
      <w:pPr>
        <w:keepNext/>
        <w:spacing w:before="180" w:after="180"/>
        <w:jc w:val="both"/>
      </w:pPr>
      <w:r>
        <w:rPr>
          <w:rFonts w:ascii="Times New Roman" w:hAnsi="Times New Roman"/>
          <w:b/>
          <w:sz w:val="22"/>
        </w:rPr>
        <w:t>CONSULTA DE RESULTADOS</w:t>
      </w:r>
    </w:p>
    <w:p>
      <w:pPr>
        <w:widowControl/>
        <w:spacing w:line="276" w:lineRule="auto" w:before="180" w:after="180"/>
        <w:jc w:val="both"/>
      </w:pPr>
      <w:r>
        <w:rPr>
          <w:rFonts w:ascii="Times New Roman" w:hAnsi="Times New Roman"/>
          <w:sz w:val="22"/>
        </w:rPr>
        <w:t>El detalle interno devuelve webinar y nombre_webinar, summary con categorías promedio, totals con registros, válidos, inválidos y personas distintas, details con paginación de 50 filas y archivo como referencia de origen. Las filas se ordenan por fecha, tiempo e identificador. La interfaz presenta la categoría promedio y el detalle por persona.</w:t>
      </w:r>
    </w:p>
    <w:p>
      <w:pPr>
        <w:widowControl/>
        <w:spacing w:line="276" w:lineRule="auto" w:before="180" w:after="180"/>
        <w:jc w:val="both"/>
      </w:pPr>
      <w:r>
        <w:rPr>
          <w:rFonts w:ascii="Times New Roman" w:hAnsi="Times New Roman"/>
          <w:sz w:val="22"/>
        </w:rPr>
        <w:t>La plataforma no calcula las categorías del promedio a partir de las probabilidades de detalle. Entrega los valores recibidos en el libro. Tampoco publica versiones emocionales ni exige un escenario solar para consultar una reunión.</w:t>
      </w:r>
    </w:p>
    <w:p>
      <w:pPr>
        <w:keepNext/>
        <w:spacing w:before="180" w:after="180"/>
        <w:jc w:val="both"/>
      </w:pPr>
      <w:r>
        <w:rPr>
          <w:rFonts w:ascii="Times New Roman" w:hAnsi="Times New Roman"/>
          <w:b/>
          <w:sz w:val="22"/>
        </w:rPr>
        <w:t>MIEMBROS DEL WEBINAR</w:t>
      </w:r>
    </w:p>
    <w:p>
      <w:pPr>
        <w:widowControl/>
        <w:spacing w:line="276" w:lineRule="auto" w:before="180" w:after="180"/>
        <w:jc w:val="both"/>
      </w:pPr>
      <w:r>
        <w:rPr>
          <w:rFonts w:ascii="Times New Roman" w:hAnsi="Times New Roman"/>
          <w:sz w:val="22"/>
        </w:rPr>
        <w:t>Existen operaciones para asignar o retirar miembros con nivel manager o viewer. Se almacenan en emotion_members. Las rutas actuales de consulta y carga no filtran por esa tabla: los permisos globales controlan el módulo web y las consultas emocionales externas son públicas. Por ello, registrar una membresía todavía no produce aislamiento efectivo por webinar.</w:t>
      </w:r>
    </w:p>
    <w:p>
      <w:pPr>
        <w:keepNext/>
        <w:spacing w:before="180" w:after="180"/>
        <w:jc w:val="both"/>
      </w:pPr>
      <w:r>
        <w:rPr>
          <w:rFonts w:ascii="Times New Roman" w:hAnsi="Times New Roman"/>
          <w:b/>
          <w:sz w:val="22"/>
        </w:rPr>
        <w:t>10 FORMATOS Y VALIDACIÓN EMOCIONAL</w:t>
      </w:r>
    </w:p>
    <w:p>
      <w:pPr>
        <w:keepNext/>
        <w:spacing w:before="180" w:after="180"/>
        <w:jc w:val="both"/>
      </w:pPr>
      <w:r>
        <w:rPr>
          <w:rFonts w:ascii="Times New Roman" w:hAnsi="Times New Roman"/>
          <w:b/>
          <w:sz w:val="22"/>
        </w:rPr>
        <w:t>PROMEDIO CATEGÓRICO DE TRES COLUMNAS</w:t>
      </w:r>
    </w:p>
    <w:p>
      <w:pPr>
        <w:keepNext/>
        <w:spacing w:before="180" w:after="120"/>
        <w:jc w:val="center"/>
      </w:pPr>
      <w:r>
        <w:rPr>
          <w:rFonts w:ascii="Times New Roman" w:hAnsi="Times New Roman"/>
          <w:b/>
          <w:sz w:val="22"/>
        </w:rPr>
        <w:t>Tabla 10. Formato emocional promedio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376"/>
        <w:gridCol w:w="5984"/>
      </w:tblGrid>
      <w:tr>
        <w:trPr>
          <w:cantSplit/>
          <w:tblHeader/>
        </w:trPr>
        <w:tc>
          <w:tcPr>
            <w:tcW w:type="dxa" w:w="337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Campo</w:t>
            </w:r>
          </w:p>
        </w:tc>
        <w:tc>
          <w:tcPr>
            <w:tcW w:type="dxa" w:w="5984"/>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Regla</w:t>
            </w:r>
          </w:p>
        </w:tc>
      </w:tr>
      <w:tr>
        <w:trPr>
          <w:cantSplit/>
        </w:trPr>
        <w:tc>
          <w:tcPr>
            <w:tcW w:type="dxa" w:w="33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id_meeting</w:t>
            </w:r>
          </w:p>
        </w:tc>
        <w:tc>
          <w:tcPr>
            <w:tcW w:type="dxa" w:w="598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Entero positivo; no se repite dentro del libro de promedio.</w:t>
            </w:r>
          </w:p>
        </w:tc>
      </w:tr>
      <w:tr>
        <w:trPr>
          <w:cantSplit/>
        </w:trPr>
        <w:tc>
          <w:tcPr>
            <w:tcW w:type="dxa" w:w="33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nivel_atencion_prom</w:t>
            </w:r>
          </w:p>
        </w:tc>
        <w:tc>
          <w:tcPr>
            <w:tcW w:type="dxa" w:w="598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Texto requerido de hasta 100 caracteres.</w:t>
            </w:r>
          </w:p>
        </w:tc>
      </w:tr>
      <w:tr>
        <w:trPr>
          <w:cantSplit/>
        </w:trPr>
        <w:tc>
          <w:tcPr>
            <w:tcW w:type="dxa" w:w="33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emocion_ganadora_prom</w:t>
            </w:r>
          </w:p>
        </w:tc>
        <w:tc>
          <w:tcPr>
            <w:tcW w:type="dxa" w:w="598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Texto requerido de hasta 100 caracteres.</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El promedio acepta texto en las dos categorías; no aplica el mismo catálogo cerrado del detalle. Una fila como 10, ATENTO, disgust se almacena y devuelve sin calcular un promedio numérico. El formato antiguo de 11 columnas queda fuera del contrato de importación vigente.</w:t>
      </w:r>
    </w:p>
    <w:p>
      <w:pPr>
        <w:keepNext/>
        <w:spacing w:before="180" w:after="180"/>
        <w:jc w:val="both"/>
      </w:pPr>
      <w:r>
        <w:rPr>
          <w:rFonts w:ascii="Times New Roman" w:hAnsi="Times New Roman"/>
          <w:b/>
          <w:sz w:val="22"/>
        </w:rPr>
        <w:t>DETALLE DE DIECISIETE COLUMNAS</w:t>
      </w:r>
    </w:p>
    <w:p>
      <w:pPr>
        <w:keepNext/>
        <w:spacing w:before="180" w:after="120"/>
        <w:jc w:val="center"/>
      </w:pPr>
      <w:r>
        <w:rPr>
          <w:rFonts w:ascii="Times New Roman" w:hAnsi="Times New Roman"/>
          <w:b/>
          <w:sz w:val="22"/>
        </w:rPr>
        <w:t>Tabla 11. Formato emocional detallado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724"/>
        <w:gridCol w:w="5636"/>
      </w:tblGrid>
      <w:tr>
        <w:trPr>
          <w:cantSplit/>
          <w:tblHeader/>
        </w:trPr>
        <w:tc>
          <w:tcPr>
            <w:tcW w:type="dxa" w:w="3724"/>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Campos</w:t>
            </w:r>
          </w:p>
        </w:tc>
        <w:tc>
          <w:tcPr>
            <w:tcW w:type="dxa" w:w="563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Validación y significado</w:t>
            </w:r>
          </w:p>
        </w:tc>
      </w:tr>
      <w:tr>
        <w:trPr>
          <w:cantSplit/>
        </w:trPr>
        <w:tc>
          <w:tcPr>
            <w:tcW w:type="dxa" w:w="372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id_persona, id_meeting</w:t>
            </w:r>
          </w:p>
        </w:tc>
        <w:tc>
          <w:tcPr>
            <w:tcW w:type="dxa" w:w="563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Identificadores enteros positivos.</w:t>
            </w:r>
          </w:p>
        </w:tc>
      </w:tr>
      <w:tr>
        <w:trPr>
          <w:cantSplit/>
        </w:trPr>
        <w:tc>
          <w:tcPr>
            <w:tcW w:type="dxa" w:w="372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archivo</w:t>
            </w:r>
          </w:p>
        </w:tc>
        <w:tc>
          <w:tcPr>
            <w:tcW w:type="dxa" w:w="563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Nombre o referencia de origen, texto requerido de hasta 255 caracteres.</w:t>
            </w:r>
          </w:p>
        </w:tc>
      </w:tr>
      <w:tr>
        <w:trPr>
          <w:cantSplit/>
        </w:trPr>
        <w:tc>
          <w:tcPr>
            <w:tcW w:type="dxa" w:w="372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nivel_atencion</w:t>
            </w:r>
          </w:p>
        </w:tc>
        <w:tc>
          <w:tcPr>
            <w:tcW w:type="dxa" w:w="563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ATENTO, NO ATENTO o SIN DETECCION; se normaliza a mayúsculas.</w:t>
            </w:r>
          </w:p>
        </w:tc>
      </w:tr>
      <w:tr>
        <w:trPr>
          <w:cantSplit/>
        </w:trPr>
        <w:tc>
          <w:tcPr>
            <w:tcW w:type="dxa" w:w="372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score_atencion</w:t>
            </w:r>
          </w:p>
        </w:tc>
        <w:tc>
          <w:tcPr>
            <w:tcW w:type="dxa" w:w="563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Valor numérico entre 0 y 1.</w:t>
            </w:r>
          </w:p>
        </w:tc>
      </w:tr>
      <w:tr>
        <w:trPr>
          <w:cantSplit/>
        </w:trPr>
        <w:tc>
          <w:tcPr>
            <w:tcW w:type="dxa" w:w="372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prob_angry, prob_disgust, prob_fear, prob_happy, prob_neutral, prob_sad, prob_surprise</w:t>
            </w:r>
          </w:p>
        </w:tc>
        <w:tc>
          <w:tcPr>
            <w:tcW w:type="dxa" w:w="563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Siete probabilidades numéricas, cada una entre 0 y 1.</w:t>
            </w:r>
          </w:p>
        </w:tc>
      </w:tr>
      <w:tr>
        <w:trPr>
          <w:cantSplit/>
        </w:trPr>
        <w:tc>
          <w:tcPr>
            <w:tcW w:type="dxa" w:w="372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emocion_ganadora</w:t>
            </w:r>
          </w:p>
        </w:tc>
        <w:tc>
          <w:tcPr>
            <w:tcW w:type="dxa" w:w="563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angry, disgust, fear, happy, neutral, sad, surprise o SIN DETECCION.</w:t>
            </w:r>
          </w:p>
        </w:tc>
      </w:tr>
      <w:tr>
        <w:trPr>
          <w:cantSplit/>
        </w:trPr>
        <w:tc>
          <w:tcPr>
            <w:tcW w:type="dxa" w:w="372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fecha, tiempo</w:t>
            </w:r>
          </w:p>
        </w:tc>
        <w:tc>
          <w:tcPr>
            <w:tcW w:type="dxa" w:w="563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Fecha Y-m-d y hora H:i:s; admite conversión desde valores de Excel.</w:t>
            </w:r>
          </w:p>
        </w:tc>
      </w:tr>
      <w:tr>
        <w:trPr>
          <w:cantSplit/>
        </w:trPr>
        <w:tc>
          <w:tcPr>
            <w:tcW w:type="dxa" w:w="372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validez</w:t>
            </w:r>
          </w:p>
        </w:tc>
        <w:tc>
          <w:tcPr>
            <w:tcW w:type="dxa" w:w="563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Booleano; normaliza VALIDO o 1 y NO VALIDO o 0.</w:t>
            </w:r>
          </w:p>
        </w:tc>
      </w:tr>
      <w:tr>
        <w:trPr>
          <w:cantSplit/>
        </w:trPr>
        <w:tc>
          <w:tcPr>
            <w:tcW w:type="dxa" w:w="372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estatus_calidad_DAMA</w:t>
            </w:r>
          </w:p>
        </w:tc>
        <w:tc>
          <w:tcPr>
            <w:tcW w:type="dxa" w:w="563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Texto requerido de hasta 100 caracteres; conserva el indicador recibido.</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NORMALIZACIÓN Y DUPLICADOS</w:t>
      </w:r>
    </w:p>
    <w:p>
      <w:pPr>
        <w:widowControl/>
        <w:spacing w:line="276" w:lineRule="auto" w:before="180" w:after="180"/>
        <w:jc w:val="both"/>
      </w:pPr>
      <w:r>
        <w:rPr>
          <w:rFonts w:ascii="Times New Roman" w:hAnsi="Times New Roman"/>
          <w:sz w:val="22"/>
        </w:rPr>
        <w:t>Los encabezados se normalizan a minúsculas con separadores de subrayado. Se rechazan columnas faltantes, adicionales o repetidas. La validación de detalle identifica duplicados por combinación de persona, reunión y archivo. La fecha y el tiempo no forman parte de esa clave de detección previa, por lo que dos observaciones con esos tres mismos valores se rechazan aunque difieran en hora.</w:t>
      </w:r>
    </w:p>
    <w:p>
      <w:pPr>
        <w:widowControl/>
        <w:spacing w:line="276" w:lineRule="auto" w:before="180" w:after="180"/>
        <w:jc w:val="both"/>
      </w:pPr>
      <w:r>
        <w:rPr>
          <w:rFonts w:ascii="Times New Roman" w:hAnsi="Times New Roman"/>
          <w:sz w:val="22"/>
        </w:rPr>
        <w:t>Al persistir, record_key se recalcula a partir del contenido de la fila y source_file. Su propósito es identificar registros del conjunto recibido; no equivale a una clave de evento temporal estable entre cargas. No se valida que las siete probabilidades sumen uno ni se recalcula la emoción ganadora a partir de ellas.</w:t>
      </w:r>
    </w:p>
    <w:p>
      <w:pPr>
        <w:widowControl/>
        <w:spacing w:line="276" w:lineRule="auto" w:before="180" w:after="180"/>
        <w:jc w:val="both"/>
      </w:pPr>
      <w:r>
        <w:rPr>
          <w:rFonts w:ascii="Times New Roman" w:hAnsi="Times New Roman"/>
          <w:sz w:val="22"/>
        </w:rPr>
        <w:t>La respuesta muestra como archivo primero source_file del promedio y, en su ausencia, el del detalle. Si ambos proceden de libros distintos, esa propiedad no expone simultáneamente los dos orígenes.</w:t>
      </w:r>
    </w:p>
    <w:p>
      <w:pPr>
        <w:keepNext/>
        <w:spacing w:before="180" w:after="180"/>
        <w:jc w:val="both"/>
      </w:pPr>
      <w:r>
        <w:rPr>
          <w:rFonts w:ascii="Times New Roman" w:hAnsi="Times New Roman"/>
          <w:b/>
          <w:sz w:val="22"/>
        </w:rPr>
        <w:t>11 CATÁLOGO DE LA API PÚBLICA</w:t>
      </w:r>
    </w:p>
    <w:p>
      <w:pPr>
        <w:widowControl/>
        <w:spacing w:line="276" w:lineRule="auto" w:before="180" w:after="180"/>
        <w:jc w:val="both"/>
      </w:pPr>
      <w:r>
        <w:rPr>
          <w:rFonts w:ascii="Times New Roman" w:hAnsi="Times New Roman"/>
          <w:sz w:val="22"/>
        </w:rPr>
        <w:t>routes/api.php contiene ocho rutas, todas GET y de solo lectura. Se montan bajo /api sin autenticación, permisos, CSRF ni limitación de solicitudes configurada en ese grupo. CORS permite cualquier origen, método y encabezado, y no habilita credenciales. La carga pública POST /api/emociones/datos fue eliminada.</w:t>
      </w:r>
    </w:p>
    <w:p>
      <w:pPr>
        <w:keepNext/>
        <w:spacing w:before="180" w:after="120"/>
        <w:jc w:val="center"/>
      </w:pPr>
      <w:r>
        <w:rPr>
          <w:rFonts w:ascii="Times New Roman" w:hAnsi="Times New Roman"/>
          <w:b/>
          <w:sz w:val="22"/>
        </w:rPr>
        <w:t>Tabla 12. Catálogo de la API pública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227"/>
        <w:gridCol w:w="5133"/>
      </w:tblGrid>
      <w:tr>
        <w:trPr>
          <w:cantSplit/>
          <w:tblHeader/>
        </w:trPr>
        <w:tc>
          <w:tcPr>
            <w:tcW w:type="dxa" w:w="422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Método y ruta relativa a api</w:t>
            </w:r>
          </w:p>
        </w:tc>
        <w:tc>
          <w:tcPr>
            <w:tcW w:type="dxa" w:w="513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Función y respuesta</w:t>
            </w:r>
          </w:p>
        </w:tc>
      </w:tr>
      <w:tr>
        <w:trPr>
          <w:cantSplit/>
        </w:trPr>
        <w:tc>
          <w:tcPr>
            <w:tcW w:type="dxa" w:w="422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GET /escenarios</w:t>
            </w:r>
          </w:p>
        </w:tc>
        <w:tc>
          <w:tcPr>
            <w:tcW w:type="dxa" w:w="513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Lista escenarios y relaciones de propietario, usuarios y contenidos. Sin usuario autenticado no aplica el filtro de pertenencia del panel.</w:t>
            </w:r>
          </w:p>
        </w:tc>
      </w:tr>
      <w:tr>
        <w:trPr>
          <w:cantSplit/>
        </w:trPr>
        <w:tc>
          <w:tcPr>
            <w:tcW w:type="dxa" w:w="422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/escenarios/{id}</w:t>
            </w:r>
          </w:p>
        </w:tc>
        <w:tc>
          <w:tcPr>
            <w:tcW w:type="dxa" w:w="513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Detalle del escenario con propietario, miembros y autores de contenidos.</w:t>
            </w:r>
          </w:p>
        </w:tc>
      </w:tr>
      <w:tr>
        <w:trPr>
          <w:cantSplit/>
        </w:trPr>
        <w:tc>
          <w:tcPr>
            <w:tcW w:type="dxa" w:w="422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GET /escenarios/{id}/resultados-solares</w:t>
            </w:r>
          </w:p>
        </w:tc>
        <w:tc>
          <w:tcPr>
            <w:tcW w:type="dxa" w:w="513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Historial solar completo en archivos, resumen versiones y versión_actual.</w:t>
            </w:r>
          </w:p>
        </w:tc>
      </w:tr>
      <w:tr>
        <w:trPr>
          <w:cantSplit/>
        </w:trPr>
        <w:tc>
          <w:tcPr>
            <w:tcW w:type="dxa" w:w="422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/escenarios/{id}/resultados</w:t>
            </w:r>
          </w:p>
        </w:tc>
        <w:tc>
          <w:tcPr>
            <w:tcW w:type="dxa" w:w="513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Alias del historial de resultados solares para clientes nuevos.</w:t>
            </w:r>
          </w:p>
        </w:tc>
      </w:tr>
      <w:tr>
        <w:trPr>
          <w:cantSplit/>
        </w:trPr>
        <w:tc>
          <w:tcPr>
            <w:tcW w:type="dxa" w:w="422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GET /escenarios/{id}/versiones-datos</w:t>
            </w:r>
          </w:p>
        </w:tc>
        <w:tc>
          <w:tcPr>
            <w:tcW w:type="dxa" w:w="513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Manifiesto solar. Requiere tipo=solar y admite version_actual y sha256_actual.</w:t>
            </w:r>
          </w:p>
        </w:tc>
      </w:tr>
      <w:tr>
        <w:trPr>
          <w:cantSplit/>
        </w:trPr>
        <w:tc>
          <w:tcPr>
            <w:tcW w:type="dxa" w:w="422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/escenarios/{id}/solar</w:t>
            </w:r>
          </w:p>
        </w:tc>
        <w:tc>
          <w:tcPr>
            <w:tcW w:type="dxa" w:w="513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Conjunto solar de versión exacta o última versión; entrega todas las series.</w:t>
            </w:r>
          </w:p>
        </w:tc>
      </w:tr>
      <w:tr>
        <w:trPr>
          <w:cantSplit/>
        </w:trPr>
        <w:tc>
          <w:tcPr>
            <w:tcW w:type="dxa" w:w="422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GET /emociones</w:t>
            </w:r>
          </w:p>
        </w:tc>
        <w:tc>
          <w:tcPr>
            <w:tcW w:type="dxa" w:w="513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Webinars con datos locales, metadatos correlacionados, promedio, detalle, totales y archivos de origen.</w:t>
            </w:r>
          </w:p>
        </w:tc>
      </w:tr>
      <w:tr>
        <w:trPr>
          <w:cantSplit/>
        </w:trPr>
        <w:tc>
          <w:tcPr>
            <w:tcW w:type="dxa" w:w="422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/emociones/{meeting}</w:t>
            </w:r>
          </w:p>
        </w:tc>
        <w:tc>
          <w:tcPr>
            <w:tcW w:type="dxa" w:w="513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Exportación completa de una reunión, sin paginación y sin identificadores internos de filas.</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EJEMPLOS DE USO</w:t>
      </w:r>
    </w:p>
    <w:p>
      <w:pPr>
        <w:widowControl/>
        <w:spacing w:line="240" w:lineRule="auto" w:before="180" w:after="180"/>
        <w:jc w:val="both"/>
      </w:pPr>
      <w:r>
        <w:rPr>
          <w:rFonts w:ascii="Consolas" w:hAnsi="Consolas"/>
          <w:sz w:val="18"/>
        </w:rPr>
        <w:t>GET /api/escenarios/12/resultados</w:t>
        <w:br/>
        <w:t>GET /api/escenarios/12/versiones-datos?tipo=solar</w:t>
        <w:br/>
        <w:t>GET /api/escenarios/12/solar?version=1.0</w:t>
        <w:br/>
        <w:t>GET /api/emociones/10</w:t>
      </w:r>
    </w:p>
    <w:p>
      <w:pPr>
        <w:widowControl/>
        <w:spacing w:line="276" w:lineRule="auto" w:before="180" w:after="180"/>
        <w:jc w:val="both"/>
      </w:pPr>
      <w:r>
        <w:rPr>
          <w:rFonts w:ascii="Times New Roman" w:hAnsi="Times New Roman"/>
          <w:sz w:val="22"/>
        </w:rPr>
        <w:t>Los identificadores y versiones anteriores ilustran el contrato; deben reemplazarse por recursos existentes. El cliente debe solicitar Accept: application/json y comprobar códigos HTTP antes de interpretar el cuerpo. Laravel devuelve errores de validación de carga o parámetros; los recursos o versiones inexistentes pueden producir 404.</w:t>
      </w:r>
    </w:p>
    <w:p>
      <w:pPr>
        <w:keepNext/>
        <w:spacing w:before="180" w:after="180"/>
        <w:jc w:val="both"/>
      </w:pPr>
      <w:r>
        <w:rPr>
          <w:rFonts w:ascii="Times New Roman" w:hAnsi="Times New Roman"/>
          <w:b/>
          <w:sz w:val="22"/>
        </w:rPr>
        <w:t>EXPOSICIÓN EFECTIVA DE DATOS</w:t>
      </w:r>
    </w:p>
    <w:p>
      <w:pPr>
        <w:widowControl/>
        <w:spacing w:line="276" w:lineRule="auto" w:before="180" w:after="180"/>
        <w:jc w:val="both"/>
      </w:pPr>
      <w:r>
        <w:rPr>
          <w:rFonts w:ascii="Times New Roman" w:hAnsi="Times New Roman"/>
          <w:sz w:val="22"/>
        </w:rPr>
        <w:t>Las respuestas públicas de escenarios incluyen correo del propietario y de miembros porque el controlador carga name y email en las relaciones. La API emocional excluye id, id_persona, id_meeting, record_key y marcas de tiempo de cada fila, pero devuelve los conjuntos completos, categorías, probabilidades, archivos de origen y totales. Una cuenta inhabilitada no afecta el acceso a consultas públicas.</w:t>
      </w:r>
    </w:p>
    <w:p>
      <w:pPr>
        <w:widowControl/>
        <w:spacing w:line="276" w:lineRule="auto" w:before="180" w:after="180"/>
        <w:jc w:val="both"/>
      </w:pPr>
      <w:r>
        <w:rPr>
          <w:rFonts w:ascii="Times New Roman" w:hAnsi="Times New Roman"/>
          <w:sz w:val="22"/>
        </w:rPr>
        <w:t>La ausencia de autenticación es parte de la implementación actual, no una garantía de privacidad. Si el servicio debe separar datos por usuario, organización o webinar, habrá que introducir autorización específica y respuestas públicas reducidas. No existen rutas públicas actuales para crear escenarios ni modificar usuarios o roles.</w:t>
      </w:r>
    </w:p>
    <w:p>
      <w:pPr>
        <w:keepNext/>
        <w:spacing w:before="180" w:after="180"/>
        <w:jc w:val="both"/>
      </w:pPr>
      <w:r>
        <w:rPr>
          <w:rFonts w:ascii="Times New Roman" w:hAnsi="Times New Roman"/>
          <w:b/>
          <w:sz w:val="22"/>
        </w:rPr>
        <w:t>12 OPERACIONES INTERNAS DEL PANEL</w:t>
      </w:r>
    </w:p>
    <w:p>
      <w:pPr>
        <w:widowControl/>
        <w:spacing w:line="276" w:lineRule="auto" w:before="180" w:after="180"/>
        <w:jc w:val="both"/>
      </w:pPr>
      <w:r>
        <w:rPr>
          <w:rFonts w:ascii="Times New Roman" w:hAnsi="Times New Roman"/>
          <w:sz w:val="22"/>
        </w:rPr>
        <w:t>Las rutas siguientes requieren sesión y cuenta activa salvo las de inicio y renovación CSRF. Además se aplica el permiso indicado y, cuando corresponde, propiedad o pertenencia al escenario. La tabla agrupa operaciones relacionadas para identificar responsabilidades sin confundirlas con la API pública.</w:t>
      </w:r>
    </w:p>
    <w:p>
      <w:pPr>
        <w:keepNext/>
        <w:spacing w:before="180" w:after="120"/>
        <w:jc w:val="center"/>
      </w:pPr>
      <w:r>
        <w:rPr>
          <w:rFonts w:ascii="Times New Roman" w:hAnsi="Times New Roman"/>
          <w:b/>
          <w:sz w:val="22"/>
        </w:rPr>
        <w:t>Tabla 13. Operaciones internas del panel</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702"/>
        <w:gridCol w:w="4185"/>
        <w:gridCol w:w="3473"/>
      </w:tblGrid>
      <w:tr>
        <w:trPr>
          <w:cantSplit/>
          <w:tblHeader/>
        </w:trPr>
        <w:tc>
          <w:tcPr>
            <w:tcW w:type="dxa" w:w="1702"/>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Operación</w:t>
            </w:r>
          </w:p>
        </w:tc>
        <w:tc>
          <w:tcPr>
            <w:tcW w:type="dxa" w:w="4185"/>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Rutas principales</w:t>
            </w:r>
          </w:p>
        </w:tc>
        <w:tc>
          <w:tcPr>
            <w:tcW w:type="dxa" w:w="347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Control adicional</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Sesión</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POST /log-in; GET /session-user; POST /log-out</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Credenciales al entrar; sesión activa para consulta y salida.</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Listado y detalle solar</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/escenarios-data; GET /escenarios-data/{id}; GET .../{id}/resultados</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escenarios.leer; pertenencia en detalle y resultados.</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Crear escenario</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POST /escenarios-store</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escenarios.crear; administrador excluido por controlador.</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Editar escenario</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PUT /escenarios/{id}</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escenarios.actualizar; owner o supervisor; admin solo nombre.</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Cargar documentos</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POST /escenarios/{id}/contenidos</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Hasta diez Word o Excel; escenarios.versionar y acceso owner.</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Asignar miembro</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POST /escenarios/{id}/members</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escenarios.invitar y propietario efectivo.</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Retirar miembro</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DELETE /escenarios/{id}/members/{user}</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escenarios.invitar y propietario efectivo.</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Descargar archivos</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/escenarios/{id}/download; GET .../{id}/contenidos/{contenido}/download</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archivos.leer y acceso al escenario.</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Eliminar escenario</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DELETE /escenarios/{id}</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escenarios.eliminar y condición owner o admin.</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Consultar emociones</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/emociones-data; GET /emociones-data/{meeting}</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emociones.leer.</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Cargar emociones</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POST /emociones-data</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emociones.cargar; operación interna sin equivalente público de escritura.</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Miembros emocionales</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POST /emociones/{meeting}/miembros; DELETE .../miembros/{user}</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emociones.invitar; no aislamiento adicional por membresía.</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Usuarios</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GET /users-data; POST /users-register; PUT /users-update/{user}</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Rol admin; asignación de módulos y estado de cuenta.</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Roles</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/roles-data; GET /roles-list; GET /roles/{rol}</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Rol admin; consulta del catálogo.</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CONTROLADORES FRENTE A FUNCIONES PUBLICADAS</w:t>
      </w:r>
    </w:p>
    <w:p>
      <w:pPr>
        <w:widowControl/>
        <w:spacing w:line="276" w:lineRule="auto" w:before="180" w:after="180"/>
        <w:jc w:val="both"/>
      </w:pPr>
      <w:r>
        <w:rPr>
          <w:rFonts w:ascii="Times New Roman" w:hAnsi="Times New Roman"/>
          <w:sz w:val="22"/>
        </w:rPr>
        <w:t>RolesController contiene métodos de escritura, pero routes/web.php no publica rutas para crear, editar ni eliminar roles. Su existencia en el archivo PHP no acredita una función accesible del producto. Lo mismo ocurre con la eliminación de usuarios: no forma parte del flujo vigente.</w:t>
      </w:r>
    </w:p>
    <w:p>
      <w:pPr>
        <w:widowControl/>
        <w:spacing w:line="276" w:lineRule="auto" w:before="180" w:after="180"/>
        <w:jc w:val="both"/>
      </w:pPr>
      <w:r>
        <w:rPr>
          <w:rFonts w:ascii="Times New Roman" w:hAnsi="Times New Roman"/>
          <w:sz w:val="22"/>
        </w:rPr>
        <w:t>La ruta de respaldo de React devuelve la vista app para URLs web autenticadas y excluye /api. Permite recargar páginas internas sin convertir rutas API desconocidas en respuestas HTML del panel. /up es la ruta de salud configurada por Laravel.</w:t>
      </w:r>
    </w:p>
    <w:p>
      <w:pPr>
        <w:keepNext/>
        <w:spacing w:before="180" w:after="180"/>
        <w:jc w:val="both"/>
      </w:pPr>
      <w:r>
        <w:rPr>
          <w:rFonts w:ascii="Times New Roman" w:hAnsi="Times New Roman"/>
          <w:b/>
          <w:sz w:val="22"/>
        </w:rPr>
        <w:t>13 INTERFAZ Y COMPORTAMIENTO DEL PANEL</w:t>
      </w:r>
    </w:p>
    <w:p>
      <w:pPr>
        <w:keepNext/>
        <w:spacing w:before="180" w:after="180"/>
        <w:jc w:val="both"/>
      </w:pPr>
      <w:r>
        <w:rPr>
          <w:rFonts w:ascii="Times New Roman" w:hAnsi="Times New Roman"/>
          <w:b/>
          <w:sz w:val="22"/>
        </w:rPr>
        <w:t>PÁGINAS Y COMPONENTES</w:t>
      </w:r>
    </w:p>
    <w:p>
      <w:pPr>
        <w:keepNext/>
        <w:spacing w:before="180" w:after="120"/>
        <w:jc w:val="center"/>
      </w:pPr>
      <w:r>
        <w:rPr>
          <w:rFonts w:ascii="Times New Roman" w:hAnsi="Times New Roman"/>
          <w:b/>
          <w:sz w:val="22"/>
        </w:rPr>
        <w:t>Tabla 14. Pantallas y funciones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162"/>
        <w:gridCol w:w="7198"/>
      </w:tblGrid>
      <w:tr>
        <w:trPr>
          <w:cantSplit/>
          <w:tblHeader/>
        </w:trPr>
        <w:tc>
          <w:tcPr>
            <w:tcW w:type="dxa" w:w="2162"/>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Pantalla</w:t>
            </w:r>
          </w:p>
        </w:tc>
        <w:tc>
          <w:tcPr>
            <w:tcW w:type="dxa" w:w="7198"/>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Función implementada</w:t>
            </w:r>
          </w:p>
        </w:tc>
      </w:tr>
      <w:tr>
        <w:trPr>
          <w:cantSplit/>
        </w:trPr>
        <w:tc>
          <w:tcPr>
            <w:tcW w:type="dxa" w:w="21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Inicio de sesión</w:t>
            </w:r>
          </w:p>
        </w:tc>
        <w:tc>
          <w:tcPr>
            <w:tcW w:type="dxa" w:w="71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Validación de acceso, recordatorio de sesión y mensajes diferenciados para credenciales o cuenta inhabilitada.</w:t>
            </w:r>
          </w:p>
        </w:tc>
      </w:tr>
      <w:tr>
        <w:trPr>
          <w:cantSplit/>
        </w:trPr>
        <w:tc>
          <w:tcPr>
            <w:tcW w:type="dxa" w:w="21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Dashboard</w:t>
            </w:r>
          </w:p>
        </w:tc>
        <w:tc>
          <w:tcPr>
            <w:tcW w:type="dxa" w:w="71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Escenarios accesibles, contenidos disponibles, accesos rápidos y entrada a módulos habilitados.</w:t>
            </w:r>
          </w:p>
        </w:tc>
      </w:tr>
      <w:tr>
        <w:trPr>
          <w:cantSplit/>
        </w:trPr>
        <w:tc>
          <w:tcPr>
            <w:tcW w:type="dxa" w:w="21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w:t>
            </w:r>
          </w:p>
        </w:tc>
        <w:tc>
          <w:tcPr>
            <w:tcW w:type="dxa" w:w="71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Biblioteca de Word y Excel, carga múltiple, búsqueda, permisos, versiones y acceso al detalle.</w:t>
            </w:r>
          </w:p>
        </w:tc>
      </w:tr>
      <w:tr>
        <w:trPr>
          <w:cantSplit/>
        </w:trPr>
        <w:tc>
          <w:tcPr>
            <w:tcW w:type="dxa" w:w="21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Detalle del escenario</w:t>
            </w:r>
          </w:p>
        </w:tc>
        <w:tc>
          <w:tcPr>
            <w:tcW w:type="dxa" w:w="71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Metadatos, contenidos, versiones, descargas y miembros sujetos a autorización.</w:t>
            </w:r>
          </w:p>
        </w:tc>
      </w:tr>
      <w:tr>
        <w:trPr>
          <w:cantSplit/>
        </w:trPr>
        <w:tc>
          <w:tcPr>
            <w:tcW w:type="dxa" w:w="21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Resultados</w:t>
            </w:r>
          </w:p>
        </w:tc>
        <w:tc>
          <w:tcPr>
            <w:tcW w:type="dxa" w:w="71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Selección de escenario y publicación solar actual o histórica; gráfica, filtros y tabla.</w:t>
            </w:r>
          </w:p>
        </w:tc>
      </w:tr>
      <w:tr>
        <w:trPr>
          <w:cantSplit/>
        </w:trPr>
        <w:tc>
          <w:tcPr>
            <w:tcW w:type="dxa" w:w="21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w:t>
            </w:r>
          </w:p>
        </w:tc>
        <w:tc>
          <w:tcPr>
            <w:tcW w:type="dxa" w:w="71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Listado de webinars y acceso a los resultados asociados; carga según permisos.</w:t>
            </w:r>
          </w:p>
        </w:tc>
      </w:tr>
      <w:tr>
        <w:trPr>
          <w:cantSplit/>
        </w:trPr>
        <w:tc>
          <w:tcPr>
            <w:tcW w:type="dxa" w:w="21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Detalle emocional</w:t>
            </w:r>
          </w:p>
        </w:tc>
        <w:tc>
          <w:tcPr>
            <w:tcW w:type="dxa" w:w="71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Resumen categórico y tabla por persona, con paginación de servidor.</w:t>
            </w:r>
          </w:p>
        </w:tc>
      </w:tr>
      <w:tr>
        <w:trPr>
          <w:cantSplit/>
        </w:trPr>
        <w:tc>
          <w:tcPr>
            <w:tcW w:type="dxa" w:w="21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Usuarios</w:t>
            </w:r>
          </w:p>
        </w:tc>
        <w:tc>
          <w:tcPr>
            <w:tcW w:type="dxa" w:w="71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Alta y edición de cuentas, rol global, módulos habilitados y estado activo.</w:t>
            </w:r>
          </w:p>
        </w:tc>
      </w:tr>
      <w:tr>
        <w:trPr>
          <w:cantSplit/>
        </w:trPr>
        <w:tc>
          <w:tcPr>
            <w:tcW w:type="dxa" w:w="21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Roles</w:t>
            </w:r>
          </w:p>
        </w:tc>
        <w:tc>
          <w:tcPr>
            <w:tcW w:type="dxa" w:w="71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Consulta administrativa de roles y permisos disponibles.</w:t>
            </w:r>
          </w:p>
        </w:tc>
      </w:tr>
    </w:tbl>
    <w:p>
      <w:pPr>
        <w:keepNext/>
        <w:spacing w:before="180" w:after="80"/>
        <w:jc w:val="center"/>
      </w:pPr>
      <w:r>
        <w:drawing>
          <wp:inline>
            <wp:extent cx="5806440" cy="2867569"/>
            <wp:docPr id="7" name="Picture 7" descr="Panel principal de Scene Hub con indicadores de escenarios, contenidos, versiones, elementos disponibles y accesos rápidos." title="Figura 7. Panel principal del Hub de escenarios, indicadores y accesos rápidos"/>
            <wp:cNvGraphicFramePr>
              <a:graphicFrameLocks noChangeAspect="1"/>
            </wp:cNvGraphicFramePr>
            <a:graphic>
              <a:graphicData uri="http://schemas.openxmlformats.org/drawingml/2006/picture">
                <pic:pic>
                  <pic:nvPicPr>
                    <pic:cNvPr id="0" name="figura-07-panel-principal.png" descr="Panel principal de Scene Hub con indicadores de escenarios, contenidos, versiones, elementos disponibles y accesos rápidos." title="Figura 7. Panel principal del Hub de escenarios, indicadores y accesos rápidos"/>
                    <pic:cNvPicPr/>
                  </pic:nvPicPr>
                  <pic:blipFill>
                    <a:blip r:embed="rId19"/>
                    <a:stretch>
                      <a:fillRect/>
                    </a:stretch>
                  </pic:blipFill>
                  <pic:spPr>
                    <a:xfrm>
                      <a:off x="0" y="0"/>
                      <a:ext cx="5806440" cy="2867569"/>
                    </a:xfrm>
                    <a:prstGeom prst="rect"/>
                  </pic:spPr>
                </pic:pic>
              </a:graphicData>
            </a:graphic>
          </wp:inline>
        </w:drawing>
      </w:r>
    </w:p>
    <w:p>
      <w:pPr>
        <w:keepLines/>
        <w:widowControl/>
        <w:spacing w:before="0" w:after="180"/>
        <w:jc w:val="center"/>
      </w:pPr>
      <w:r>
        <w:rPr>
          <w:rFonts w:ascii="Times New Roman" w:hAnsi="Times New Roman"/>
          <w:b/>
          <w:sz w:val="22"/>
        </w:rPr>
        <w:t>Figura 7. Panel principal del Hub de escenarios, indicadores y accesos rápidos. Fuente: captura de la interfaz de Scene Hub, 17 de septiembre de 2026.</w:t>
      </w:r>
    </w:p>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SESIÓN Y SOLICITUDES</w:t>
      </w:r>
    </w:p>
    <w:p>
      <w:pPr>
        <w:widowControl/>
        <w:spacing w:line="276" w:lineRule="auto" w:before="180" w:after="180"/>
        <w:jc w:val="both"/>
      </w:pPr>
      <w:r>
        <w:rPr>
          <w:rFonts w:ascii="Times New Roman" w:hAnsi="Times New Roman"/>
          <w:sz w:val="22"/>
        </w:rPr>
        <w:t>El panel conserva información del usuario en sessionStorage con la clave scenehub_user para adaptar vistas. La autorización efectiva permanece en Laravel: ocultar botones no sustituye la validación del servidor. Axios envía credenciales y la cabecera X-CSRF-TOKEN obtenida de la página.</w:t>
      </w:r>
    </w:p>
    <w:p>
      <w:pPr>
        <w:widowControl/>
        <w:spacing w:line="276" w:lineRule="auto" w:before="180" w:after="180"/>
        <w:jc w:val="both"/>
      </w:pPr>
      <w:r>
        <w:rPr>
          <w:rFonts w:ascii="Times New Roman" w:hAnsi="Times New Roman"/>
          <w:sz w:val="22"/>
        </w:rPr>
        <w:t>csrfRequest renueva el token mediante /csrf/refresh antes de enviar la operación. El interceptor de errores reintenta una vez si recibe 419. Las vistas de resultados usan AbortController para cancelar consultas que ya no corresponden a la selección actual y muestran mensajes de error o ausencia de datos.</w:t>
      </w:r>
    </w:p>
    <w:p>
      <w:pPr>
        <w:keepNext/>
        <w:spacing w:before="180" w:after="180"/>
        <w:jc w:val="both"/>
      </w:pPr>
      <w:r>
        <w:rPr>
          <w:rFonts w:ascii="Times New Roman" w:hAnsi="Times New Roman"/>
          <w:b/>
          <w:sz w:val="22"/>
        </w:rPr>
        <w:t>PAGINACIÓN Y REPRESENTACIÓN</w:t>
      </w:r>
    </w:p>
    <w:p>
      <w:pPr>
        <w:widowControl/>
        <w:spacing w:line="276" w:lineRule="auto" w:before="180" w:after="180"/>
        <w:jc w:val="both"/>
      </w:pPr>
      <w:r>
        <w:rPr>
          <w:rFonts w:ascii="Times New Roman" w:hAnsi="Times New Roman"/>
          <w:sz w:val="22"/>
        </w:rPr>
        <w:t>Pagination y paginationWindow generan navegación con anterior, siguiente, números de página y puntos suspensivos. Las tablas solares se paginan localmente sobre la serie recibida; las emocionales solicitan cada página al servidor. Esta diferencia influye en el costo de red: paginar la tabla solar no reduce el volumen del JSON descargado.</w:t>
      </w:r>
    </w:p>
    <w:p>
      <w:pPr>
        <w:widowControl/>
        <w:spacing w:line="276" w:lineRule="auto" w:before="180" w:after="180"/>
        <w:jc w:val="both"/>
      </w:pPr>
      <w:r>
        <w:rPr>
          <w:rFonts w:ascii="Times New Roman" w:hAnsi="Times New Roman"/>
          <w:sz w:val="22"/>
        </w:rPr>
        <w:t>Los gráficos solares se construyen con SVG y los iconos del panel usan lucide-react. No se requiere una librería externa de gráficos para el visor actual. La interfaz utiliza nombres de variables con unidad y diferencia entre muestras presentes y valores desconocidos.</w:t>
      </w:r>
    </w:p>
    <w:p>
      <w:pPr>
        <w:keepNext/>
        <w:spacing w:before="180" w:after="180"/>
        <w:jc w:val="both"/>
      </w:pPr>
      <w:r>
        <w:rPr>
          <w:rFonts w:ascii="Times New Roman" w:hAnsi="Times New Roman"/>
          <w:b/>
          <w:sz w:val="22"/>
        </w:rPr>
        <w:t>PRECISIÓN DE LOS INDICADORES</w:t>
      </w:r>
    </w:p>
    <w:p>
      <w:pPr>
        <w:widowControl/>
        <w:spacing w:line="276" w:lineRule="auto" w:before="180" w:after="180"/>
        <w:jc w:val="both"/>
      </w:pPr>
      <w:r>
        <w:rPr>
          <w:rFonts w:ascii="Times New Roman" w:hAnsi="Times New Roman"/>
          <w:sz w:val="22"/>
        </w:rPr>
        <w:t>El indicador Versiones del dashboard suma el valor numérico del campo versiones de cada escenario. Por ejemplo, 1.2 más 1.3 daría 2.5, que no es un conteo de revisiones. Para un indicador auditable debe contarse el historial de versiones o definirse otra métrica. El informe no interpreta esa suma como cantidad real de publicaciones.</w:t>
      </w:r>
    </w:p>
    <w:p>
      <w:pPr>
        <w:widowControl/>
        <w:spacing w:line="276" w:lineRule="auto" w:before="180" w:after="180"/>
        <w:jc w:val="both"/>
      </w:pPr>
      <w:r>
        <w:rPr>
          <w:rFonts w:ascii="Times New Roman" w:hAnsi="Times New Roman"/>
          <w:sz w:val="22"/>
        </w:rPr>
        <w:t>La búsqueda global de la barra superior y el indicador de tres notificaciones se presentan visualmente, pero no tienen una operación de consulta asociada. La biblioteca sí acepta Word y Excel; no admite PDF, ZIP, paquetes Unity ni otros tipos de archivo.</w:t>
      </w:r>
    </w:p>
    <w:p>
      <w:pPr>
        <w:keepNext/>
        <w:spacing w:before="180" w:after="180"/>
        <w:jc w:val="both"/>
      </w:pPr>
      <w:r>
        <w:rPr>
          <w:rFonts w:ascii="Times New Roman" w:hAnsi="Times New Roman"/>
          <w:b/>
          <w:sz w:val="22"/>
        </w:rPr>
        <w:t>14 DESPLIEGUE Y OPERACIÓN TÉCNICA</w:t>
      </w:r>
    </w:p>
    <w:p>
      <w:pPr>
        <w:keepNext/>
        <w:spacing w:before="180" w:after="180"/>
        <w:jc w:val="both"/>
      </w:pPr>
      <w:r>
        <w:rPr>
          <w:rFonts w:ascii="Times New Roman" w:hAnsi="Times New Roman"/>
          <w:b/>
          <w:sz w:val="22"/>
        </w:rPr>
        <w:t>REQUISITOS Y ARTEFACTOS</w:t>
      </w:r>
    </w:p>
    <w:p>
      <w:pPr>
        <w:widowControl/>
        <w:spacing w:line="276" w:lineRule="auto" w:before="180" w:after="180"/>
        <w:jc w:val="both"/>
      </w:pPr>
      <w:r>
        <w:rPr>
          <w:rFonts w:ascii="Times New Roman" w:hAnsi="Times New Roman"/>
          <w:sz w:val="22"/>
        </w:rPr>
        <w:t>El despliegue necesita PHP compatible con composer.json, dependencias Composer, un motor de base de datos configurado y permisos de escritura sobre storage y bootstrap/cache. Deben estar disponibles las extensiones requeridas por Laravel, el controlador de base de datos, PhpSpreadsheet y ZipArchive. Composer debe verificar los requisitos del entorno real.</w:t>
      </w:r>
    </w:p>
    <w:p>
      <w:pPr>
        <w:widowControl/>
        <w:spacing w:line="276" w:lineRule="auto" w:before="180" w:after="180"/>
        <w:jc w:val="both"/>
      </w:pPr>
      <w:r>
        <w:rPr>
          <w:rFonts w:ascii="Times New Roman" w:hAnsi="Times New Roman"/>
          <w:sz w:val="22"/>
        </w:rPr>
        <w:t>Vite genera los recursos de producción en public/build, que está excluido de Git. Si el servidor no dispone de Node, debe compilarse y transferirse esa carpeta completa, incluido manifest.json. El directorio público del sitio debe apuntar a public y conservarse la APP_KEY, la configuración de entorno y los archivos existentes.</w:t>
      </w:r>
    </w:p>
    <w:p>
      <w:pPr>
        <w:keepNext/>
        <w:spacing w:before="180" w:after="180"/>
        <w:jc w:val="both"/>
      </w:pPr>
      <w:r>
        <w:rPr>
          <w:rFonts w:ascii="Times New Roman" w:hAnsi="Times New Roman"/>
          <w:b/>
          <w:sz w:val="22"/>
        </w:rPr>
        <w:t>SECUENCIA DOCUMENTADA DE ACTUALIZACIÓN</w:t>
      </w:r>
    </w:p>
    <w:p>
      <w:pPr>
        <w:widowControl/>
        <w:spacing w:line="240" w:lineRule="auto" w:before="180" w:after="180"/>
        <w:jc w:val="both"/>
      </w:pPr>
      <w:r>
        <w:rPr>
          <w:rFonts w:ascii="Consolas" w:hAnsi="Consolas"/>
          <w:sz w:val="18"/>
        </w:rPr>
        <w:t>composer install --no-dev --prefer-dist --optimize-autoloader</w:t>
        <w:br/>
        <w:t>npm ci</w:t>
        <w:br/>
        <w:t>npm run build</w:t>
        <w:br/>
        <w:t>php artisan migrate --force</w:t>
        <w:br/>
        <w:t>php artisan db:seed --class=RolesAndPermissionsSeeder --force</w:t>
        <w:br/>
        <w:t>php artisan optimize:clear</w:t>
        <w:br/>
        <w:t>php artisan config:cache</w:t>
        <w:br/>
        <w:t>php artisan route:cache</w:t>
        <w:br/>
        <w:t>php artisan view:cache</w:t>
      </w:r>
    </w:p>
    <w:p>
      <w:pPr>
        <w:widowControl/>
        <w:spacing w:line="276" w:lineRule="auto" w:before="180" w:after="180"/>
        <w:jc w:val="both"/>
      </w:pPr>
      <w:r>
        <w:rPr>
          <w:rFonts w:ascii="Times New Roman" w:hAnsi="Times New Roman"/>
          <w:sz w:val="22"/>
        </w:rPr>
        <w:t>La secuencia procede de docs/despliegue-hostinger.md y requiere respaldo y revisión de cambios antes de ejecutarse. La migración de normalización emocional elimina columnas históricas; reconstruir columnas con down no recupera sus valores anteriores. El seeder debe ejecutarse después de agregar is_active para migrar correctamente los accesos.</w:t>
      </w:r>
    </w:p>
    <w:p>
      <w:pPr>
        <w:keepNext/>
        <w:spacing w:before="180" w:after="180"/>
        <w:jc w:val="both"/>
      </w:pPr>
      <w:r>
        <w:rPr>
          <w:rFonts w:ascii="Times New Roman" w:hAnsi="Times New Roman"/>
          <w:b/>
          <w:sz w:val="22"/>
        </w:rPr>
        <w:t>ALMACENAMIENTO Y RECUPERACIÓN</w:t>
      </w:r>
    </w:p>
    <w:p>
      <w:pPr>
        <w:widowControl/>
        <w:spacing w:line="276" w:lineRule="auto" w:before="180" w:after="180"/>
        <w:jc w:val="both"/>
      </w:pPr>
      <w:r>
        <w:rPr>
          <w:rFonts w:ascii="Times New Roman" w:hAnsi="Times New Roman"/>
          <w:sz w:val="22"/>
        </w:rPr>
        <w:t>Los respaldos deben incluir base de datos y directorios de escenarios de forma coordinada: las rutas y las publicaciones referencian archivos concretos. La recuperación debe comprobar tanto la existencia física de un archivo como la correspondencia de archivo_id, versión y mediciones. Un respaldo de solo la base no conserva los Excel ni los ZIP que se generan a partir de ellos.</w:t>
      </w:r>
    </w:p>
    <w:p>
      <w:pPr>
        <w:widowControl/>
        <w:spacing w:line="276" w:lineRule="auto" w:before="180" w:after="180"/>
        <w:jc w:val="both"/>
      </w:pPr>
      <w:r>
        <w:rPr>
          <w:rFonts w:ascii="Times New Roman" w:hAnsi="Times New Roman"/>
          <w:sz w:val="22"/>
        </w:rPr>
        <w:t>No debe utilizarse migrate:fresh para actualizar una instalación con datos. Después de una actualización conviene verificar inicio de sesión, bloqueo de cuentas, módulos asignados, carga solar, carga emocional independiente, descarga histórica y manifiesto. Estas son comprobaciones operativas propuestas; no representan una ejecución sobre producción.</w:t>
      </w:r>
    </w:p>
    <w:p>
      <w:pPr>
        <w:keepNext/>
        <w:spacing w:before="180" w:after="180"/>
        <w:jc w:val="both"/>
      </w:pPr>
      <w:r>
        <w:rPr>
          <w:rFonts w:ascii="Times New Roman" w:hAnsi="Times New Roman"/>
          <w:b/>
          <w:sz w:val="22"/>
        </w:rPr>
        <w:t>DOCKER E INFRAESTRUCTURA PENDIENTE DE VALIDAR</w:t>
      </w:r>
    </w:p>
    <w:p>
      <w:pPr>
        <w:widowControl/>
        <w:spacing w:line="276" w:lineRule="auto" w:before="180" w:after="180"/>
        <w:jc w:val="both"/>
      </w:pPr>
      <w:r>
        <w:rPr>
          <w:rFonts w:ascii="Times New Roman" w:hAnsi="Times New Roman"/>
          <w:sz w:val="22"/>
        </w:rPr>
        <w:t>El Dockerfile parte de PHP 8.2 FPM sobre Bullseye, incorpora ODBC y extensiones SQL Server, instala Composer y arranca artisan serve. No incluye una etapa de compilación de Node ni demuestra una arquitectura de servidor de producción completa. Su presencia documenta una opción de empaquetado histórica, que debe revisarse para el destino elegido.</w:t>
      </w:r>
    </w:p>
    <w:p>
      <w:pPr>
        <w:widowControl/>
        <w:spacing w:line="276" w:lineRule="auto" w:before="180" w:after="180"/>
        <w:jc w:val="both"/>
      </w:pPr>
      <w:r>
        <w:rPr>
          <w:rFonts w:ascii="Times New Roman" w:hAnsi="Times New Roman"/>
          <w:sz w:val="22"/>
        </w:rPr>
        <w:t>El límite de 50 MiB de Laravel requiere coherencia con upload_max_filesize, post_max_size, límites del proxy y memoria. La lectura Excel y el armado de respuestas son síncronos. Para archivos grandes habrá que medir tiempo, memoria y concurrencia antes de fijar compromisos de capacidad.</w:t>
      </w:r>
    </w:p>
    <w:p>
      <w:pPr>
        <w:keepNext/>
        <w:spacing w:before="180" w:after="180"/>
        <w:jc w:val="both"/>
      </w:pPr>
      <w:r>
        <w:rPr>
          <w:rFonts w:ascii="Times New Roman" w:hAnsi="Times New Roman"/>
          <w:b/>
          <w:sz w:val="22"/>
        </w:rPr>
        <w:t>15 VERIFICACIÓN TÉCNICA AL CORTE</w:t>
      </w:r>
    </w:p>
    <w:p>
      <w:pPr>
        <w:widowControl/>
        <w:spacing w:line="276" w:lineRule="auto" w:before="180" w:after="180"/>
        <w:jc w:val="both"/>
      </w:pPr>
      <w:r>
        <w:rPr>
          <w:rFonts w:ascii="Times New Roman" w:hAnsi="Times New Roman"/>
          <w:sz w:val="22"/>
        </w:rPr>
        <w:t>La revisión ejecutó pruebas locales con PHP 8.2.12 y PHPUnit 11.5.42, usando SQLite en memoria. También ejecutó las pruebas JavaScript y una compilación Vite de producción. Estos resultados describen HEAD 8036886 y no sustituyen una aceptación del servicio desplegado.</w:t>
      </w:r>
    </w:p>
    <w:p>
      <w:pPr>
        <w:keepNext/>
        <w:spacing w:before="180" w:after="120"/>
        <w:jc w:val="center"/>
      </w:pPr>
      <w:r>
        <w:rPr>
          <w:rFonts w:ascii="Times New Roman" w:hAnsi="Times New Roman"/>
          <w:b/>
          <w:sz w:val="22"/>
        </w:rPr>
        <w:t>Tabla 15. Resultados de verificación técnica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957"/>
        <w:gridCol w:w="6403"/>
      </w:tblGrid>
      <w:tr>
        <w:trPr>
          <w:cantSplit/>
          <w:tblHeader/>
        </w:trPr>
        <w:tc>
          <w:tcPr>
            <w:tcW w:type="dxa" w:w="295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Ejecución</w:t>
            </w:r>
          </w:p>
        </w:tc>
        <w:tc>
          <w:tcPr>
            <w:tcW w:type="dxa" w:w="640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Resultado observado</w:t>
            </w:r>
          </w:p>
        </w:tc>
      </w:tr>
      <w:tr>
        <w:trPr>
          <w:cantSplit/>
        </w:trPr>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Suite PHP completa</w:t>
            </w:r>
          </w:p>
        </w:tc>
        <w:tc>
          <w:tcPr>
            <w:tcW w:type="dxa" w:w="64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39 pruebas y 201 aserciones; 14 fallos, 2 errores y 2 omitidas. La suite completa no queda aprobada.</w:t>
            </w:r>
          </w:p>
        </w:tc>
      </w:tr>
      <w:tr>
        <w:trPr>
          <w:cantSplit/>
        </w:trPr>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Pruebas enfocadas en contratos vigentes</w:t>
            </w:r>
          </w:p>
        </w:tc>
        <w:tc>
          <w:tcPr>
            <w:tcW w:type="dxa" w:w="64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12 pruebas y 134 aserciones; sin fallos ni errores, con 1 omitida por falta del libro original opcional.</w:t>
            </w:r>
          </w:p>
        </w:tc>
      </w:tr>
      <w:tr>
        <w:trPr>
          <w:cantSplit/>
        </w:trPr>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JavaScript solar y paginación</w:t>
            </w:r>
          </w:p>
        </w:tc>
        <w:tc>
          <w:tcPr>
            <w:tcW w:type="dxa" w:w="64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6 pruebas aprobadas; sin fallos ni omisiones.</w:t>
            </w:r>
          </w:p>
        </w:tc>
      </w:tr>
      <w:tr>
        <w:trPr>
          <w:cantSplit/>
        </w:trPr>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Compilación de producción</w:t>
            </w:r>
          </w:p>
        </w:tc>
        <w:tc>
          <w:tcPr>
            <w:tcW w:type="dxa" w:w="64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Vite 7.3.6 aprobó 1.660 módulos; CSS 68,04 kB y JavaScript 359,56 kB antes de gzip.</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QUÉ CONFIRMA LA SELECCIÓN ENFOCADA</w:t>
      </w:r>
    </w:p>
    <w:p>
      <w:pPr>
        <w:widowControl/>
        <w:spacing w:line="276" w:lineRule="auto" w:before="180" w:after="180"/>
        <w:jc w:val="both"/>
      </w:pPr>
      <w:r>
        <w:rPr>
          <w:rFonts w:ascii="Times New Roman" w:hAnsi="Times New Roman"/>
          <w:sz w:val="22"/>
        </w:rPr>
        <w:t>Se ejecutaron UserAccessManagementTest, PublicApiTest, EmotionImportCoexistenceTest y ScenarioSolarImportTest. Cubren asignación y actualización de módulos, bloqueo de cuentas, protección del último administrador, comportamiento de API pública, convivencia de promedio y detalle, importación solar, rechazos y restauración de resultados anteriores.</w:t>
      </w:r>
    </w:p>
    <w:p>
      <w:pPr>
        <w:widowControl/>
        <w:spacing w:line="276" w:lineRule="auto" w:before="180" w:after="180"/>
        <w:jc w:val="both"/>
      </w:pPr>
      <w:r>
        <w:rPr>
          <w:rFonts w:ascii="Times New Roman" w:hAnsi="Times New Roman"/>
          <w:sz w:val="22"/>
        </w:rPr>
        <w:t>Las pruebas JavaScript cubren inicio solar con umbral, continuidad entre muestras, intervalos de cinco minutos, fin de generación, déficit, formato de tiempo superior a 24 horas y ventanas de paginación. Validan reglas de funciones concretas, no una calibración física del simulador.</w:t>
      </w:r>
    </w:p>
    <w:p>
      <w:pPr>
        <w:keepNext/>
        <w:spacing w:before="180" w:after="180"/>
        <w:jc w:val="both"/>
      </w:pPr>
      <w:r>
        <w:rPr>
          <w:rFonts w:ascii="Times New Roman" w:hAnsi="Times New Roman"/>
          <w:b/>
          <w:sz w:val="22"/>
        </w:rPr>
        <w:t>POR QUÉ FALLA LA SUITE HISTÓRICA</w:t>
      </w:r>
    </w:p>
    <w:p>
      <w:pPr>
        <w:widowControl/>
        <w:spacing w:line="276" w:lineRule="auto" w:before="180" w:after="180"/>
        <w:jc w:val="both"/>
      </w:pPr>
      <w:r>
        <w:rPr>
          <w:rFonts w:ascii="Times New Roman" w:hAnsi="Times New Roman"/>
          <w:sz w:val="22"/>
        </w:rPr>
        <w:t>Varias pruebas siguen intentando importar archivos emocionales desde escenarios, aunque ese flujo ahora los conserva como documentos y la carga emocional corresponde a /emociones-data. Otros casos usan archivos BIN o crean escenarios sin documento, hoy rechazados por el contrato Word y Excel obligatorio. Cinco fallos con 405 reflejan métodos o rutas históricas que ya no coinciden con routes/web.php.</w:t>
      </w:r>
    </w:p>
    <w:p>
      <w:pPr>
        <w:widowControl/>
        <w:spacing w:line="276" w:lineRule="auto" w:before="180" w:after="180"/>
        <w:jc w:val="both"/>
      </w:pPr>
      <w:r>
        <w:rPr>
          <w:rFonts w:ascii="Times New Roman" w:hAnsi="Times New Roman"/>
          <w:sz w:val="22"/>
        </w:rPr>
        <w:t>Estos resultados indican desalineación entre contratos antiguos y código actual. No deben resolverse simplemente eliminando pruebas: hay que decidir qué contrato queda vigente, reubicar los casos emocionales en sus rutas propias y mantener cobertura para rechazo, atomicidad y permisos. Los fallos restantes deben clasificarse individualmente para distinguir regresiones de expectativas obsoletas.</w:t>
      </w:r>
    </w:p>
    <w:p>
      <w:pPr>
        <w:keepNext/>
        <w:spacing w:before="180" w:after="180"/>
        <w:jc w:val="both"/>
      </w:pPr>
      <w:r>
        <w:rPr>
          <w:rFonts w:ascii="Times New Roman" w:hAnsi="Times New Roman"/>
          <w:b/>
          <w:sz w:val="22"/>
        </w:rPr>
        <w:t>ALCANCE DE LA EVIDENCIA</w:t>
      </w:r>
    </w:p>
    <w:p>
      <w:pPr>
        <w:widowControl/>
        <w:spacing w:line="276" w:lineRule="auto" w:before="180" w:after="180"/>
        <w:jc w:val="both"/>
      </w:pPr>
      <w:r>
        <w:rPr>
          <w:rFonts w:ascii="Times New Roman" w:hAnsi="Times New Roman"/>
          <w:sz w:val="22"/>
        </w:rPr>
        <w:t>Las omisiones corresponden a libros originales opcionales no proporcionados al entorno de prueba. Por ello, no se afirma que los archivos científicos reales hayan sido validados durante esta revisión. Tampoco se ejecutaron pruebas de carga, aceptación visual completa de la aplicación ni verificación del servidor remoto.</w:t>
      </w:r>
    </w:p>
    <w:p>
      <w:pPr>
        <w:widowControl/>
        <w:spacing w:line="240" w:lineRule="auto" w:before="180" w:after="180"/>
        <w:jc w:val="both"/>
      </w:pPr>
      <w:r>
        <w:rPr>
          <w:rFonts w:ascii="Consolas" w:hAnsi="Consolas"/>
          <w:sz w:val="18"/>
        </w:rPr>
        <w:t>php vendor/phpunit/phpunit/phpunit --do-not-cache-result</w:t>
        <w:br/>
        <w:t>node --test tests/solarSampling.test.mjs tests/pagination.test.mjs</w:t>
        <w:br/>
        <w:t>node node_modules/vite/bin/vite.js build</w:t>
      </w:r>
    </w:p>
    <w:p>
      <w:pPr>
        <w:widowControl/>
        <w:spacing w:line="276" w:lineRule="auto" w:before="180" w:after="180"/>
        <w:jc w:val="both"/>
      </w:pPr>
      <w:r>
        <w:rPr>
          <w:rFonts w:ascii="Times New Roman" w:hAnsi="Times New Roman"/>
          <w:sz w:val="22"/>
        </w:rPr>
        <w:t>Para reproducir la prueba PHP debe conservarse la configuración testing con DB_CONNECTION=sqlite y DB_DATABASE=:memory:. El resultado de la selección enfocada acredita esos casos concretos; no cancela el estado fallido de la suite completa.</w:t>
      </w:r>
    </w:p>
    <w:p>
      <w:pPr>
        <w:keepNext/>
        <w:spacing w:before="180" w:after="180"/>
        <w:jc w:val="both"/>
      </w:pPr>
      <w:r>
        <w:rPr>
          <w:rFonts w:ascii="Times New Roman" w:hAnsi="Times New Roman"/>
          <w:b/>
          <w:sz w:val="22"/>
        </w:rPr>
        <w:t>16 HALLAZGOS Y PRIORIDADES DE CONSOLIDACIÓN</w:t>
      </w:r>
    </w:p>
    <w:p>
      <w:pPr>
        <w:widowControl/>
        <w:spacing w:line="276" w:lineRule="auto" w:before="180" w:after="180"/>
        <w:jc w:val="both"/>
      </w:pPr>
      <w:r>
        <w:rPr>
          <w:rFonts w:ascii="Times New Roman" w:hAnsi="Times New Roman"/>
          <w:sz w:val="22"/>
        </w:rPr>
        <w:t>Los siguientes hallazgos describen límites observables del código y acciones propuestas. No son funciones adicionales ya implementadas ni cambios realizados por este informe.</w:t>
      </w:r>
    </w:p>
    <w:p>
      <w:pPr>
        <w:keepNext/>
        <w:spacing w:before="180" w:after="120"/>
        <w:jc w:val="center"/>
      </w:pPr>
      <w:r>
        <w:rPr>
          <w:rFonts w:ascii="Times New Roman" w:hAnsi="Times New Roman"/>
          <w:b/>
          <w:sz w:val="22"/>
        </w:rPr>
        <w:t>Tabla 16. Hallazgos y prioridades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76"/>
        <w:gridCol w:w="4003"/>
        <w:gridCol w:w="4380"/>
      </w:tblGrid>
      <w:tr>
        <w:trPr>
          <w:cantSplit/>
          <w:tblHeader/>
        </w:trPr>
        <w:tc>
          <w:tcPr>
            <w:tcW w:type="dxa" w:w="97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Prioridad</w:t>
            </w:r>
          </w:p>
        </w:tc>
        <w:tc>
          <w:tcPr>
            <w:tcW w:type="dxa" w:w="400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Hallazgo</w:t>
            </w:r>
          </w:p>
        </w:tc>
        <w:tc>
          <w:tcPr>
            <w:tcW w:type="dxa" w:w="4380"/>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Acción concreta</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Alta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La API pública entrega miembros, correos, contenidos y exportaciones emocionales completas sin paginación.</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Definir qué datos deben ser públicos, reducir las respuestas y aplicar autenticación cuando la distribución no deba ser abierta.</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Alta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La invitación de escenarios exige roles históricos que ya no asigna la ficha de usuario.</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Validar módulo o permiso vigente y estado activo del destinatario; añadir prueba de usuario nuevo invitado.</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Alta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emotion_members no condiciona las consultas o cargas revisadas.</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Aplicar autorización por reunión si se pretende aislamiento; alinear manager y viewer con operaciones concretas.</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Alta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La suite completa presenta 14 fallos y 2 errores.</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Actualizar casos al contrato vigente y resolver regresiones hasta obtener una ejecución consistente.</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Alta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El panel muestra carga de archivos a administradores, pero el middleware owner puede rechazarla cuando no son propietarios.</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Alinear visibilidad y autorización o retirar la opción para administradores sin propiedad.</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El directorio de escenarios está en storage/app/public.</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Revisar enlaces y servidor: si se expone por /storage, una URL directa puede eludir controles de descarga del panel.</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Un Excel solar inválido se conserva como documento sin detallar el incumplimiento de esquema.</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Mostrar al operador si el archivo fue archivado como documento o importado como datos, junto con errores de validación accionables.</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Energía almacenada rotulada W y acumulados pendientes de confirmación física.</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Acordar diccionario de unidades con el productor antes de habilitar conversiones o tasas.</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Una carga emocional de varias reuniones confirma cada grupo por separado.</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Definir si se requiere atomicidad global o reporte de resultados parciales y probar fallos de escritura.</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Versiones del dashboard suma etiquetas decimales.</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Contar revisiones reales y separar versión actual de cantidad de publicaciones.</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Importaciones síncronas y series completas en memoria.</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Medir memoria, latencia y tamaño de respuesta; introducir colas o paginación contractual cuando sea necesario.</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Baja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Búsqueda global y contador de tres notificaciones no ejecutan operaciones.</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Conectar estas piezas a fuentes reales o retirarlas para evitar indicadores engañosos.</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Baja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Dependencias históricas y métodos sin rutas activas.</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Revisar uso real antes de retirar código; mantener el catálogo funcional centrado en rutas publicadas.</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ALCANCE FUNCIONAL DOCUMENTADO</w:t>
      </w:r>
    </w:p>
    <w:p>
      <w:pPr>
        <w:widowControl/>
        <w:spacing w:line="276" w:lineRule="auto" w:before="180" w:after="180"/>
        <w:jc w:val="both"/>
      </w:pPr>
      <w:r>
        <w:rPr>
          <w:rFonts w:ascii="Times New Roman" w:hAnsi="Times New Roman"/>
          <w:sz w:val="22"/>
        </w:rPr>
        <w:t>El catálogo funcional se limita a las operaciones presentes en las rutas, controladores, servicios y pantallas vigentes de Scene Hub. Cualquier ampliación futura deberá comenzar con esquema de datos, formato de importación, validaciones, versionado, autorización y contrato de consulta definidos.</w:t>
      </w:r>
    </w:p>
    <w:p>
      <w:pPr>
        <w:keepNext/>
        <w:spacing w:before="180" w:after="180"/>
        <w:jc w:val="both"/>
      </w:pPr>
      <w:r>
        <w:rPr>
          <w:rFonts w:ascii="Times New Roman" w:hAnsi="Times New Roman"/>
          <w:b/>
          <w:sz w:val="22"/>
        </w:rPr>
        <w:t>17 CRITERIOS DE CIERRE, CONCLUSIÓN Y REFERENCIAS</w:t>
      </w:r>
    </w:p>
    <w:p>
      <w:pPr>
        <w:keepNext/>
        <w:spacing w:before="180" w:after="180"/>
        <w:jc w:val="both"/>
      </w:pPr>
      <w:r>
        <w:rPr>
          <w:rFonts w:ascii="Times New Roman" w:hAnsi="Times New Roman"/>
          <w:b/>
          <w:sz w:val="22"/>
        </w:rPr>
        <w:t>CRITERIOS PARA UNA VERSIÓN CONSOLIDADA</w:t>
      </w:r>
    </w:p>
    <w:p>
      <w:pPr>
        <w:widowControl/>
        <w:spacing w:line="276" w:lineRule="auto" w:before="180" w:after="180"/>
        <w:jc w:val="both"/>
      </w:pPr>
      <w:r>
        <w:rPr>
          <w:rFonts w:ascii="Times New Roman" w:hAnsi="Times New Roman"/>
          <w:sz w:val="22"/>
        </w:rPr>
        <w:t>Accesos: una cuenta usuario recién creada debe poder recibir y ejercer exactamente el nivel de participación concedido. Las membresías de webinar deben tener un efecto verificable si se ofrecen como control de acceso. La superficie pública debe corresponder a una decisión explícita sobre los datos que distribuye.</w:t>
      </w:r>
    </w:p>
    <w:p>
      <w:pPr>
        <w:widowControl/>
        <w:spacing w:line="276" w:lineRule="auto" w:before="180" w:after="180"/>
        <w:jc w:val="both"/>
      </w:pPr>
      <w:r>
        <w:rPr>
          <w:rFonts w:ascii="Times New Roman" w:hAnsi="Times New Roman"/>
          <w:sz w:val="22"/>
        </w:rPr>
        <w:t>Datos: los libros reales deben superar los contratos definidos; unidades, acumulados y reglas de duplicados deben estar acordados con sus productores. Una restauración solar debe crear una nueva publicación cuando cambian las mediciones, y una carga emocional debe preservar el formato complementario.</w:t>
      </w:r>
    </w:p>
    <w:p>
      <w:pPr>
        <w:widowControl/>
        <w:spacing w:line="276" w:lineRule="auto" w:before="180" w:after="180"/>
        <w:jc w:val="both"/>
      </w:pPr>
      <w:r>
        <w:rPr>
          <w:rFonts w:ascii="Times New Roman" w:hAnsi="Times New Roman"/>
          <w:sz w:val="22"/>
        </w:rPr>
        <w:t>Calidad y operación: la suite completa del contrato vigente debe aprobarse, el despliegue debe incluir frontend compilado y migraciones correctas, y una restauración de respaldo debe recuperar tanto datos como archivos. Cualquier módulo futuro debe incorporarse únicamente después de definir y probar su contrato técnico completo.</w:t>
      </w:r>
    </w:p>
    <w:p>
      <w:pPr>
        <w:keepNext/>
        <w:spacing w:before="180" w:after="180"/>
        <w:jc w:val="both"/>
      </w:pPr>
      <w:r>
        <w:rPr>
          <w:rFonts w:ascii="Times New Roman" w:hAnsi="Times New Roman"/>
          <w:b/>
          <w:sz w:val="22"/>
        </w:rPr>
        <w:t>CONCLUSIÓN</w:t>
      </w:r>
    </w:p>
    <w:p>
      <w:pPr>
        <w:widowControl/>
        <w:spacing w:line="276" w:lineRule="auto" w:before="180" w:after="180"/>
        <w:jc w:val="both"/>
      </w:pPr>
      <w:r>
        <w:rPr>
          <w:rFonts w:ascii="Times New Roman" w:hAnsi="Times New Roman"/>
          <w:sz w:val="22"/>
        </w:rPr>
        <w:t>Scene Hub dispone actualmente de una biblioteca de escenarios con documentos Word y Excel, importación y versionado solar, consulta histórica de publicaciones, gestión de usuarios por módulos y un dominio emocional independiente por webinar. Su API externa es de solo lectura. La siguiente etapa técnica consiste en cerrar las inconsistencias de acceso y pruebas, reducir la exposición pública según la política del proyecto, estabilizar los contratos científicos y verificar la operación del entorno de destino.</w:t>
      </w:r>
    </w:p>
    <w:p>
      <w:pPr>
        <w:keepNext/>
        <w:spacing w:before="180" w:after="180"/>
        <w:jc w:val="both"/>
      </w:pPr>
      <w:r>
        <w:rPr>
          <w:rFonts w:ascii="Times New Roman" w:hAnsi="Times New Roman"/>
          <w:b/>
          <w:sz w:val="22"/>
        </w:rPr>
        <w:t>REFERENCIAS</w:t>
      </w:r>
    </w:p>
    <w:p>
      <w:pPr>
        <w:widowControl/>
        <w:spacing w:line="276" w:lineRule="auto" w:before="180" w:after="180"/>
        <w:jc w:val="both"/>
      </w:pPr>
      <w:r>
        <w:rPr>
          <w:rFonts w:ascii="Times New Roman" w:hAnsi="Times New Roman"/>
          <w:sz w:val="22"/>
        </w:rPr>
        <w:t>Las rutas siguientes son relativas a la raíz del repositorio y permiten localizar las definiciones descritas. La revisión toma como base HEAD 8036886, con árbol de trabajo limpio al iniciar el análisis.</w:t>
      </w:r>
    </w:p>
    <w:p>
      <w:pPr>
        <w:keepNext/>
        <w:spacing w:before="180" w:after="120"/>
        <w:jc w:val="center"/>
      </w:pPr>
      <w:r>
        <w:rPr>
          <w:rFonts w:ascii="Times New Roman" w:hAnsi="Times New Roman"/>
          <w:b/>
          <w:sz w:val="22"/>
        </w:rPr>
        <w:t>Tabla 17. Referencias de implementación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023"/>
        <w:gridCol w:w="7337"/>
      </w:tblGrid>
      <w:tr>
        <w:trPr>
          <w:cantSplit/>
          <w:tblHeader/>
        </w:trPr>
        <w:tc>
          <w:tcPr>
            <w:tcW w:type="dxa" w:w="202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Referencia</w:t>
            </w:r>
          </w:p>
        </w:tc>
        <w:tc>
          <w:tcPr>
            <w:tcW w:type="dxa" w:w="733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Archivos o historial</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Evolución</w:t>
            </w:r>
          </w:p>
        </w:tc>
        <w:tc>
          <w:tcPr>
            <w:tcW w:type="dxa" w:w="733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git log desde b77bbcd; b77bbcd, c887207, 585b9ae, 8ab551e, b550022, 2936894, 21c5d28, e032e58, 2cc9350, 474287e, 2610ce6, 18679d6 y 8036886.</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Arquitectura y rutas</w:t>
            </w:r>
          </w:p>
        </w:tc>
        <w:tc>
          <w:tcPr>
            <w:tcW w:type="dxa" w:w="733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composer.json; package.json; bootstrap/app.php; routes/api.php; routes/web.php.</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Identidad</w:t>
            </w:r>
          </w:p>
        </w:tc>
        <w:tc>
          <w:tcPr>
            <w:tcW w:type="dxa" w:w="733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app/Http/Controllers/LoginController.php y UserController.php; app/Http/Middleware/EnsureUserIsActive.php; database/seeders/RolesAndPermissionsSeeder.php.</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Escenarios</w:t>
            </w:r>
          </w:p>
        </w:tc>
        <w:tc>
          <w:tcPr>
            <w:tcW w:type="dxa" w:w="733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app/Http/Controllers/EscenariosController.php; app/Http/Middleware/EnsureScenarioAccess.php; app/Models/Escenario.php y EscenarioContenido.php.</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Importación y versiones</w:t>
            </w:r>
          </w:p>
        </w:tc>
        <w:tc>
          <w:tcPr>
            <w:tcW w:type="dxa" w:w="733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app/Services/ScenarioSolarImport.php, ScenarioEmotionImport.php y DataVersions.php; app/Http/Controllers/DataVersionsController.php.</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w:t>
            </w:r>
          </w:p>
        </w:tc>
        <w:tc>
          <w:tcPr>
            <w:tcW w:type="dxa" w:w="733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app/Http/Controllers/EmocionesController.php; migraciones de emotions, emotions_prom y emotion_members.</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Interfaz</w:t>
            </w:r>
          </w:p>
        </w:tc>
        <w:tc>
          <w:tcPr>
            <w:tcW w:type="dxa" w:w="733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resources/js/app.jsx; resources/js/http.js; resources/js/pages; resources/js/components/SolarResults.jsx, solarSampling.js y EmotionAverageResults.jsx.</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Operación e integración</w:t>
            </w:r>
          </w:p>
        </w:tc>
        <w:tc>
          <w:tcPr>
            <w:tcW w:type="dxa" w:w="733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docs/unity-data-api.md; docs/solar-results-api.md; docs/despliegue-hostinger.md; Dockerfile; phpunit.xml; tests/Feature y pruebas .mjs.</w:t>
            </w:r>
          </w:p>
        </w:tc>
      </w:tr>
    </w:tbl>
    <w:p>
      <w:pPr>
        <w:widowControl/>
        <w:spacing w:line="276" w:lineRule="auto" w:before="180" w:after="0"/>
        <w:jc w:val="both"/>
      </w:pPr>
      <w:r>
        <w:rPr>
          <w:rFonts w:ascii="Times New Roman" w:hAnsi="Times New Roman"/>
          <w:sz w:val="22"/>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pPr>
    <w:r w:rsidDel="00000000" w:rsidR="00000000" w:rsidRPr="00000000">
      <w:rPr/>
      <w:drawing>
        <wp:inline distB="114300" distT="114300" distL="114300" distR="114300">
          <wp:extent cx="5943600" cy="635000"/>
          <wp:effectExtent b="0" l="0" r="0" t="0"/>
          <wp:docPr id="7" name="image1.png" descr="Logotipos de las instituciones participantes" title="Encabezado institucional"/>
          <a:graphic>
            <a:graphicData uri="http://schemas.openxmlformats.org/drawingml/2006/picture">
              <pic:pic>
                <pic:nvPicPr>
                  <pic:cNvPr id="0" name="image1.png" descr="Logotipos de las instituciones participantes" title="Encabezado institucional"/>
                  <pic:cNvPicPr preferRelativeResize="0"/>
                </pic:nvPicPr>
                <pic:blipFill>
                  <a:blip r:embed="rId1"/>
                  <a:srcRect b="0" l="0" r="0" t="0"/>
                  <a:stretch>
                    <a:fillRect/>
                  </a:stretch>
                </pic:blipFill>
                <pic:spPr>
                  <a:xfrm>
                    <a:off x="0" y="0"/>
                    <a:ext cx="5943600" cy="6350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76" w:lineRule="auto" w:before="180" w:after="180"/>
    </w:pPr>
    <w:rPr>
      <w:rFonts w:ascii="Times New Roman" w:hAnsi="Times New Roman"/>
      <w:color w:val="000000"/>
      <w:sz w:val="22"/>
    </w:rPr>
  </w:style>
  <w:style w:type="paragraph" w:styleId="Heading1">
    <w:name w:val="heading 1"/>
    <w:basedOn w:val="Normal"/>
    <w:next w:val="Normal"/>
    <w:pPr>
      <w:keepNext w:val="1"/>
      <w:keepLines w:val="1"/>
      <w:spacing w:after="180" w:before="180" w:lineRule="auto" w:line="276"/>
    </w:pPr>
    <w:rPr>
      <w:rFonts w:ascii="Times New Roman" w:cs="Play" w:eastAsia="Play" w:hAnsi="Times New Roman"/>
      <w:color w:val="000000"/>
      <w:sz w:val="22"/>
      <w:szCs w:val="40"/>
    </w:rPr>
  </w:style>
  <w:style w:type="paragraph" w:styleId="Heading2">
    <w:name w:val="heading 2"/>
    <w:basedOn w:val="Normal"/>
    <w:next w:val="Normal"/>
    <w:pPr>
      <w:keepNext w:val="1"/>
      <w:keepLines w:val="1"/>
      <w:spacing w:after="180" w:before="180" w:lineRule="auto" w:line="276"/>
    </w:pPr>
    <w:rPr>
      <w:rFonts w:ascii="Times New Roman" w:cs="Play" w:eastAsia="Play" w:hAnsi="Times New Roman"/>
      <w:color w:val="000000"/>
      <w:sz w:val="22"/>
      <w:szCs w:val="32"/>
    </w:rPr>
  </w:style>
  <w:style w:type="paragraph" w:styleId="Heading3">
    <w:name w:val="heading 3"/>
    <w:basedOn w:val="Normal"/>
    <w:next w:val="Normal"/>
    <w:pPr>
      <w:keepNext w:val="1"/>
      <w:keepLines w:val="1"/>
      <w:spacing w:after="180" w:before="180" w:lineRule="auto" w:line="276"/>
    </w:pPr>
    <w:rPr>
      <w:rFonts w:ascii="Times New Roman" w:hAnsi="Times New Roman"/>
      <w:color w:val="000000"/>
      <w:sz w:val="22"/>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80" w:lineRule="auto" w:line="276" w:before="180"/>
      <w:jc w:val="center"/>
    </w:pPr>
    <w:rPr>
      <w:rFonts w:ascii="Times New Roman" w:cs="Play" w:eastAsia="Play" w:hAnsi="Times New Roman"/>
      <w:color w:val="000000"/>
      <w:sz w:val="22"/>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180" w:lineRule="auto" w:line="276" w:before="180"/>
      <w:jc w:val="center"/>
    </w:pPr>
    <w:rPr>
      <w:rFonts w:ascii="Times New Roman" w:cs="Play" w:eastAsia="Play" w:hAnsi="Times New Roman"/>
      <w:color w:val="000000"/>
      <w:sz w:val="22"/>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eader" Target="header1.xml"/><Relationship Id="rId7"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03AXzbnURKD+TskdgaZjDCpAdw==">CgMxLjAaHwoBMBIaChgICVIUChJ0YWJsZS44ZTZjOG40bzEwY20aHwoBMRIaChgICVIUChJ0YWJsZS50dGFuMm02a3FvNGw4AHIhMWQ5TWIxNkwxdUJnc1ZhX0FiSzlnbGJKZGJJRFpEWGFW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Scene Hub — informe técnico GAST con figuras</dc:title>
  <cp:lastModifiedBy>python-docx</cp:lastModifiedBy>
  <cp:revision>1</cp:revision>
  <dcterms:modified xsi:type="dcterms:W3CDTF">2026-09-17T16:45:52Z</dcterms:modified>
  <dc:subject>Informe técnico ilustrado con capturas de la interfaz de Scene Hub</dc:subject>
  <dc:creator>Documentación técnica de Scene Hub</dc:creator>
</cp:coreProperties>
</file>