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80" w:after="560"/>
        <w:jc w:val="center"/>
      </w:pPr>
      <w:r>
        <w:rPr>
          <w:rFonts w:ascii="Times New Roman" w:hAnsi="Times New Roman"/>
          <w:b/>
          <w:color w:val="4A86E8"/>
          <w:sz w:val="28"/>
        </w:rPr>
        <w:t>ANEXO “GAST-1.1”</w:t>
      </w:r>
    </w:p>
    <w:p>
      <w:pPr>
        <w:spacing w:before="180" w:after="180"/>
        <w:jc w:val="both"/>
      </w:pPr>
      <w:r>
        <w:rPr>
          <w:rFonts w:ascii="Times New Roman" w:hAnsi="Times New Roman"/>
          <w:b/>
          <w:sz w:val="22"/>
        </w:rPr>
        <w:t>INFORME TÉCNICO DEL ESTADO ACTUAL DE SCENE HUB</w:t>
      </w:r>
    </w:p>
    <w:p>
      <w:pPr>
        <w:spacing w:before="180" w:after="180"/>
        <w:jc w:val="both"/>
      </w:pPr>
      <w:r>
        <w:rPr>
          <w:rFonts w:ascii="Times New Roman" w:hAnsi="Times New Roman"/>
          <w:sz w:val="22"/>
        </w:rPr>
        <w:t>EVOLUCIÓN, ARQUITECTURA, FUNCIONES E INTEGRACIÓN</w:t>
      </w:r>
    </w:p>
    <w:p>
      <w:pPr>
        <w:spacing w:before="180" w:after="360"/>
        <w:jc w:val="both"/>
      </w:pPr>
      <w:r>
        <w:rPr>
          <w:rFonts w:ascii="Times New Roman" w:hAnsi="Times New Roman"/>
          <w:i/>
          <w:sz w:val="22"/>
        </w:rPr>
        <w:t>Corte técnico al 16 de septiembre de 2026, 14:51, hora de Colombia</w:t>
      </w:r>
    </w:p>
    <w:p>
      <w:pPr>
        <w:keepNext/>
        <w:spacing w:before="180" w:after="180"/>
        <w:jc w:val="both"/>
      </w:pPr>
      <w:r>
        <w:rPr>
          <w:rFonts w:ascii="Times New Roman" w:hAnsi="Times New Roman"/>
          <w:b/>
          <w:sz w:val="22"/>
        </w:rPr>
        <w:t>PROPÓSITO Y ESTADO ACTUAL</w:t>
      </w:r>
    </w:p>
    <w:p>
      <w:pPr>
        <w:widowControl/>
        <w:spacing w:line="276" w:lineRule="auto" w:before="180" w:after="180"/>
        <w:jc w:val="both"/>
      </w:pPr>
      <w:r>
        <w:rPr>
          <w:rFonts w:ascii="Times New Roman" w:hAnsi="Times New Roman"/>
          <w:sz w:val="22"/>
        </w:rPr>
        <w:t>Scene Hub centraliza escenarios, documentos Word y Excel, publicaciones de resultados solares y datos emocionales asociados a webinars. Combina un panel web con administración de usuarios, permisos y contenidos, y una API JSON pública de lectura para clientes externos, incluido Unity.</w:t>
      </w:r>
    </w:p>
    <w:p>
      <w:pPr>
        <w:widowControl/>
        <w:spacing w:line="276" w:lineRule="auto" w:before="180" w:after="180"/>
        <w:jc w:val="both"/>
      </w:pPr>
      <w:r>
        <w:rPr>
          <w:rFonts w:ascii="Times New Roman" w:hAnsi="Times New Roman"/>
          <w:sz w:val="22"/>
        </w:rPr>
        <w:t>El estado actual ya incorpora como funciones registradas en Git la simplificación de roles, la activación e inhabilitación de cuentas, la asignación de módulos por usuario, la carga múltiple de documentos y la consulta histórica de versiones solares. La carga emocional pública fue retirada: los datos se cargan desde una sesión autorizada y se exponen externamente solo mediante consultas GET.</w:t>
      </w:r>
    </w:p>
    <w:p>
      <w:pPr>
        <w:widowControl/>
        <w:spacing w:line="276" w:lineRule="auto" w:before="180" w:after="180"/>
        <w:jc w:val="both"/>
      </w:pPr>
      <w:r>
        <w:rPr>
          <w:rFonts w:ascii="Times New Roman" w:hAnsi="Times New Roman"/>
          <w:sz w:val="22"/>
        </w:rPr>
        <w:t>El producto gestiona, valida, conserva, consulta y distribuye resultados producidos fuera de la plataforma. No ejecuta simulaciones físicas ni reconocimiento de emociones. Su consolidación todavía exige corregir incompatibilidades entre las invitaciones y el rol usuario, definir el alcance de la información pública y alinear la suite histórica con los contratos vigentes.</w:t>
      </w:r>
    </w:p>
    <w:p>
      <w:pPr>
        <w:keepNext/>
        <w:spacing w:before="180" w:after="180"/>
        <w:jc w:val="both"/>
      </w:pPr>
      <w:r>
        <w:rPr>
          <w:rFonts w:ascii="Times New Roman" w:hAnsi="Times New Roman"/>
          <w:b/>
          <w:sz w:val="22"/>
        </w:rPr>
        <w:t>IDENTIFICACIÓN DE LA REVISIÓN</w:t>
      </w:r>
    </w:p>
    <w:p>
      <w:pPr>
        <w:keepNext/>
        <w:spacing w:before="180" w:after="120"/>
        <w:jc w:val="center"/>
      </w:pPr>
      <w:r>
        <w:rPr>
          <w:rFonts w:ascii="Times New Roman" w:hAnsi="Times New Roman"/>
          <w:b/>
          <w:sz w:val="22"/>
        </w:rPr>
        <w:t>Tabla 1. Identificación de la revisión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11"/>
        <w:gridCol w:w="6849"/>
      </w:tblGrid>
      <w:tr>
        <w:trPr>
          <w:cantSplit/>
          <w:tblHeader/>
        </w:trPr>
        <w:tc>
          <w:tcPr>
            <w:tcW w:type="dxa" w:w="2511"/>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Elemento</w:t>
            </w:r>
          </w:p>
        </w:tc>
        <w:tc>
          <w:tcPr>
            <w:tcW w:type="dxa" w:w="6849"/>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Referencia</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Producto</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Scene Hub</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Versión de referencia</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HEAD 8036886; árbol de trabajo limpio al iniciar la revisión</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Historial considerado</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13 commits del proyecto actual desde el 5 de agosto de 2026</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Alcance técnico</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Código, migraciones, rutas, interfaz, documentación, compilación y pruebas locales</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Estado de entrega</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Informe del estado implementado; no certificación de despliegue</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ORGANIZACIÓN DEL INFORME</w:t>
      </w:r>
    </w:p>
    <w:p>
      <w:pPr>
        <w:widowControl/>
        <w:spacing w:line="276" w:lineRule="auto" w:before="180" w:after="180"/>
        <w:jc w:val="both"/>
      </w:pPr>
      <w:r>
        <w:rPr>
          <w:rFonts w:ascii="Times New Roman" w:hAnsi="Times New Roman"/>
          <w:sz w:val="22"/>
        </w:rP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keepNext/>
        <w:spacing w:before="180" w:after="180"/>
        <w:jc w:val="both"/>
      </w:pPr>
      <w:r>
        <w:rPr>
          <w:rFonts w:ascii="Times New Roman" w:hAnsi="Times New Roman"/>
          <w:b/>
          <w:sz w:val="22"/>
        </w:rPr>
        <w:t>1 EVOLUCIÓN DEL PROYECTO</w:t>
      </w:r>
    </w:p>
    <w:p>
      <w:pPr>
        <w:widowControl/>
        <w:spacing w:line="276" w:lineRule="auto" w:before="180" w:after="180"/>
        <w:jc w:val="both"/>
      </w:pPr>
      <w:r>
        <w:rPr>
          <w:rFonts w:ascii="Times New Roman" w:hAnsi="Times New Roman"/>
          <w:sz w:val="22"/>
        </w:rPr>
        <w:t>La cronología se apoya en commits y migraciones. Una fecha de commit acredita incorporación al repositorio, mientras que la fecha de una migración identifica un cambio de esquema; ninguna de las dos demuestra por sí sola una puesta en producción.</w:t>
      </w:r>
    </w:p>
    <w:p>
      <w:pPr>
        <w:keepNext/>
        <w:spacing w:before="180" w:after="120"/>
        <w:jc w:val="center"/>
      </w:pPr>
      <w:r>
        <w:rPr>
          <w:rFonts w:ascii="Times New Roman" w:hAnsi="Times New Roman"/>
          <w:b/>
          <w:sz w:val="22"/>
        </w:rPr>
        <w:t>Tabla 2. Evolución verificable de Scene Hub</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44"/>
        <w:gridCol w:w="7616"/>
      </w:tblGrid>
      <w:tr>
        <w:trPr>
          <w:cantSplit/>
          <w:tblHeader/>
        </w:trPr>
        <w:tc>
          <w:tcPr>
            <w:tcW w:type="dxa" w:w="174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Periodo</w:t>
            </w:r>
          </w:p>
        </w:tc>
        <w:tc>
          <w:tcPr>
            <w:tcW w:type="dxa" w:w="761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Evolución verificable</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5 ago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Momento cero de Scene Hub: preparación de operaciones de roles y permisos en el commit b77bbcd y actualización inicial del modelo de autorización en c887207.</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13 a 14 ago 2026</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Preparación del módulo de escenarios, vistas Blade, rutas web y primeras vistas del panel. La entrada React app.jsx aparece en el commit 8ab551e.</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 a 3 sep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Modulación de permisos y roles, operaciones de propietario e incorporación de la vista de webinars dentro del módulo emocional.</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8 a 14 sep 2026</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Tablas y operaciones emocionales, integración de webinars, datos solares estructurados y registro de versiones. Se desarrollan los contratos de consulta actuales.</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15 a 16 sep 2026</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Separación de emociones respecto de escenarios, normalización del promedio categórico, reorganización visual y refinamiento de vistas.</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16 sep 2026 11 53</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Commit 18679d6: rol usuario, módulos por cuenta, is_active, middleware de inhabilitación y administración de accesos.</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16 sep 2026 14 51</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Commit 8036886: documentos Word y Excel, cargas múltiples, historial solar seleccionable y API emocional pública de solo lectura.</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CAMBIO DE ENFOQUE</w:t>
      </w:r>
    </w:p>
    <w:p>
      <w:pPr>
        <w:widowControl/>
        <w:spacing w:line="276" w:lineRule="auto" w:before="180" w:after="180"/>
        <w:jc w:val="both"/>
      </w:pPr>
      <w:r>
        <w:rPr>
          <w:rFonts w:ascii="Times New Roman" w:hAnsi="Times New Roman"/>
          <w:sz w:val="22"/>
        </w:rPr>
        <w:t>Scene Hub evoluciona desde un control inicial de identidad y permisos hacia recursos con contexto funcional. Los resultados solares pertenecen a un escenario y a un archivo; los datos emocionales pertenecen a id_meeting. Esta separación permite que cada dominio mantenga su propio ciclo de carga, consulta y publicación.</w:t>
      </w:r>
    </w:p>
    <w:p>
      <w:pPr>
        <w:keepNext/>
        <w:spacing w:before="180" w:after="180"/>
        <w:jc w:val="both"/>
      </w:pPr>
      <w:r>
        <w:rPr>
          <w:rFonts w:ascii="Times New Roman" w:hAnsi="Times New Roman"/>
          <w:b/>
          <w:sz w:val="22"/>
        </w:rPr>
        <w:t>MOMENTO CERO Y CRITERIO DE ALCANCE</w:t>
      </w:r>
    </w:p>
    <w:p>
      <w:pPr>
        <w:widowControl/>
        <w:spacing w:line="276" w:lineRule="auto" w:before="180" w:after="180"/>
        <w:jc w:val="both"/>
      </w:pPr>
      <w:r>
        <w:rPr>
          <w:rFonts w:ascii="Times New Roman" w:hAnsi="Times New Roman"/>
          <w:sz w:val="22"/>
        </w:rPr>
        <w:t>El informe considera como inicio del proyecto actual el commit b77bbcd del 5 de agosto de 2026, cuando comienza la construcción verificable de roles, permisos y módulos que evolucionan hasta Scene Hub. La cronología, los hitos y las conclusiones se limitan a esa línea funcional y a sus desarrollos posteriores.</w:t>
      </w:r>
    </w:p>
    <w:p>
      <w:pPr>
        <w:keepNext/>
        <w:spacing w:before="180" w:after="180"/>
        <w:jc w:val="both"/>
      </w:pPr>
      <w:r>
        <w:rPr>
          <w:rFonts w:ascii="Times New Roman" w:hAnsi="Times New Roman"/>
          <w:b/>
          <w:sz w:val="22"/>
        </w:rPr>
        <w:t>2 ARQUITECTURA DE LA SOLUCIÓN</w:t>
      </w:r>
    </w:p>
    <w:p>
      <w:pPr>
        <w:widowControl/>
        <w:spacing w:line="276" w:lineRule="auto" w:before="180" w:after="180"/>
        <w:jc w:val="both"/>
      </w:pPr>
      <w:r>
        <w:rPr>
          <w:rFonts w:ascii="Times New Roman" w:hAnsi="Times New Roman"/>
          <w:sz w:val="22"/>
        </w:rP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p>
      <w:pPr>
        <w:keepNext/>
        <w:spacing w:before="180" w:after="120"/>
        <w:jc w:val="center"/>
      </w:pPr>
      <w:r>
        <w:rPr>
          <w:rFonts w:ascii="Times New Roman" w:hAnsi="Times New Roman"/>
          <w:b/>
          <w:sz w:val="22"/>
        </w:rPr>
        <w:t>Tabla 3. Arquitectura tecnológica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07"/>
        <w:gridCol w:w="2957"/>
        <w:gridCol w:w="4896"/>
      </w:tblGrid>
      <w:tr>
        <w:trPr>
          <w:cantSplit/>
          <w:tblHeader/>
        </w:trPr>
        <w:tc>
          <w:tcPr>
            <w:tcW w:type="dxa" w:w="150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Capa</w:t>
            </w:r>
          </w:p>
        </w:tc>
        <w:tc>
          <w:tcPr>
            <w:tcW w:type="dxa" w:w="29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Tecnología declarada</w:t>
            </w:r>
          </w:p>
        </w:tc>
        <w:tc>
          <w:tcPr>
            <w:tcW w:type="dxa" w:w="489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Responsabilidad</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Servidor</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PHP ^8.2 y Laravel ^12.0</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Rutas, controladores, middleware y transacciones.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Interfaz</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React ^19.1.1 y Router ^7.9.1</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Páginas y navegación del panel.</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Construcción</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Vite ^7.0.7 y Tailwind ^4.0.0</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Compilación y estilos; recursos propios en CSS.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HTTP del panel</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Axios ^1.11.0</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Solicitudes JSON con sesión y recuperación CSRF.</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Permisos</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Spatie Permission ^6.25</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Roles globales y permisos directos por usuario.</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Excel</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PhpSpreadsheet ^5.9</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Lectura y validación de libros solares y emocionales.</w:t>
            </w:r>
          </w:p>
        </w:tc>
      </w:tr>
      <w:tr>
        <w:trPr>
          <w:cantSplit/>
        </w:trPr>
        <w:tc>
          <w:tcPr>
            <w:tcW w:type="dxa" w:w="150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Persistencia</w:t>
            </w:r>
          </w:p>
        </w:tc>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Eloquent y Query Builder</w:t>
            </w:r>
          </w:p>
        </w:tc>
        <w:tc>
          <w:tcPr>
            <w:tcW w:type="dxa" w:w="489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Modelos relacionales, inserciones por lotes y consultas.</w:t>
            </w:r>
          </w:p>
        </w:tc>
      </w:tr>
      <w:tr>
        <w:trPr>
          <w:cantSplit/>
        </w:trPr>
        <w:tc>
          <w:tcPr>
            <w:tcW w:type="dxa" w:w="150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Archivos</w:t>
            </w:r>
          </w:p>
        </w:tc>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Disco local y ZipArchive</w:t>
            </w:r>
          </w:p>
        </w:tc>
        <w:tc>
          <w:tcPr>
            <w:tcW w:type="dxa" w:w="489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Historial por directorios y descarga ZIP.</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keepNext/>
        <w:spacing w:before="180" w:after="180"/>
        <w:jc w:val="both"/>
      </w:pPr>
      <w:r>
        <w:rPr>
          <w:rFonts w:ascii="Times New Roman" w:hAnsi="Times New Roman"/>
          <w:b/>
          <w:sz w:val="22"/>
        </w:rPr>
        <w:t>RECORRIDO DE UNA OPERACIÓN WEB</w:t>
      </w:r>
    </w:p>
    <w:p>
      <w:pPr>
        <w:widowControl/>
        <w:spacing w:line="276" w:lineRule="auto" w:before="180" w:after="180"/>
        <w:jc w:val="both"/>
      </w:pPr>
      <w:r>
        <w:rPr>
          <w:rFonts w:ascii="Times New Roman" w:hAnsi="Times New Roman"/>
          <w:sz w:val="22"/>
        </w:rPr>
        <w:t>Navegador → React y Axios → ruta web Laravel → sesión y cuenta activa → permiso del módulo → acceso al escenario cuando corresponde → controlador → servicio de importación → base de datos y almacenamiento → respuesta JSON → actualización de la vista.</w:t>
      </w:r>
    </w:p>
    <w:p>
      <w:pPr>
        <w:keepNext/>
        <w:spacing w:before="180" w:after="180"/>
        <w:jc w:val="both"/>
      </w:pPr>
      <w:r>
        <w:rPr>
          <w:rFonts w:ascii="Times New Roman" w:hAnsi="Times New Roman"/>
          <w:b/>
          <w:sz w:val="22"/>
        </w:rPr>
        <w:t>RECORRIDO DE UNA CONSULTA EXTERNA</w:t>
      </w:r>
    </w:p>
    <w:p>
      <w:pPr>
        <w:widowControl/>
        <w:spacing w:line="276" w:lineRule="auto" w:before="180" w:after="180"/>
        <w:jc w:val="both"/>
      </w:pPr>
      <w:r>
        <w:rPr>
          <w:rFonts w:ascii="Times New Roman" w:hAnsi="Times New Roman"/>
          <w:sz w:val="22"/>
        </w:rPr>
        <w:t>Unity u otro cliente HTTP → ruta /api → resolución del recurso y validación de parámetros → consulta de datos o manifiesto → respuesta JSON. Estas rutas son públicas en la configuración actual y no heredan los controles de sesión del panel.</w:t>
      </w:r>
    </w:p>
    <w:p>
      <w:pPr>
        <w:keepNext/>
        <w:spacing w:before="180" w:after="180"/>
        <w:jc w:val="both"/>
      </w:pPr>
      <w:r>
        <w:rPr>
          <w:rFonts w:ascii="Times New Roman" w:hAnsi="Times New Roman"/>
          <w:b/>
          <w:sz w:val="22"/>
        </w:rPr>
        <w:t>LÍMITES ENTRE COMPONENTES</w:t>
      </w:r>
    </w:p>
    <w:p>
      <w:pPr>
        <w:widowControl/>
        <w:spacing w:line="276" w:lineRule="auto" w:before="180" w:after="180"/>
        <w:jc w:val="both"/>
      </w:pPr>
      <w:r>
        <w:rPr>
          <w:rFonts w:ascii="Times New Roman" w:hAnsi="Times New Roman"/>
          <w:sz w:val="22"/>
        </w:rP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keepNext/>
        <w:spacing w:before="180" w:after="180"/>
        <w:jc w:val="both"/>
      </w:pPr>
      <w:r>
        <w:rPr>
          <w:rFonts w:ascii="Times New Roman" w:hAnsi="Times New Roman"/>
          <w:b/>
          <w:sz w:val="22"/>
        </w:rPr>
        <w:t>3 MODELO DE DATOS Y RELACIONES</w:t>
      </w:r>
    </w:p>
    <w:p>
      <w:pPr>
        <w:keepNext/>
        <w:spacing w:before="180" w:after="120"/>
        <w:jc w:val="center"/>
      </w:pPr>
      <w:r>
        <w:rPr>
          <w:rFonts w:ascii="Times New Roman" w:hAnsi="Times New Roman"/>
          <w:b/>
          <w:sz w:val="22"/>
        </w:rPr>
        <w:t>Tabla 4. Modelo de datos y relaciones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23"/>
        <w:gridCol w:w="3585"/>
        <w:gridCol w:w="3752"/>
      </w:tblGrid>
      <w:tr>
        <w:trPr>
          <w:cantSplit/>
          <w:tblHeader/>
        </w:trPr>
        <w:tc>
          <w:tcPr>
            <w:tcW w:type="dxa" w:w="202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Entidad</w:t>
            </w:r>
          </w:p>
        </w:tc>
        <w:tc>
          <w:tcPr>
            <w:tcW w:type="dxa" w:w="35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Datos principales</w:t>
            </w:r>
          </w:p>
        </w:tc>
        <w:tc>
          <w:tcPr>
            <w:tcW w:type="dxa" w:w="375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Relación y regla</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Nombre, correo, contraseña, is_active</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Cuenta con roles y permisos; contraseña oculta en JSON y cast hashed.</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esceanarios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descripción, estado, owner_id, versiones, storage_directory</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físico conservado con esa grafía. Un propietario y varios contenidos.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escenarios_users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escenario_id, user_id, access_level, invited_by</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Par escenario y usuario único; registra pertenencia e invitación.</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escenario_contenidos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Ruta, nombre, tipo, MIME, tamaño, versión, autor y modificador</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 asociado al escenario; las referencias al usuario pueden quedar nulas.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solar_data</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Archivo, escenario, tiempo, intervalo y 12 variables</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Unicidad por archivo, intervalo y tiempo; índices para lectura temporal.</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data_versions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 archivo, tipo, revisión, versión y SHA256</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Revisión única por escenario y tipo; contrato vigente limitado a solar.</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Persona, reunión, archivo, atención, probabilidades, emoción y calidad</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Registros detallados independientes de escenarios; incluye origen y record_key.</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emotions_prom</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Reunión, atención promedio y emoción ganadora promedio</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Resumen categórico importado; sin id_persona ni versión emocional.</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emotion_members</w:t>
            </w:r>
          </w:p>
        </w:tc>
        <w:tc>
          <w:tcPr>
            <w:tcW w:type="dxa" w:w="35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Reunión, usuario, nivel y quien invita</w:t>
            </w:r>
          </w:p>
        </w:tc>
        <w:tc>
          <w:tcPr>
            <w:tcW w:type="dxa" w:w="375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Par reunión y usuario único; niveles manager y viewer.</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Tablas de permisos</w:t>
            </w:r>
          </w:p>
        </w:tc>
        <w:tc>
          <w:tcPr>
            <w:tcW w:type="dxa" w:w="35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roles, permissions y tablas de asociación</w:t>
            </w:r>
          </w:p>
        </w:tc>
        <w:tc>
          <w:tcPr>
            <w:tcW w:type="dxa" w:w="375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Spatie relaciona roles, usuarios y permisos directos.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INTEGRIDAD Y TRAZABILIDAD</w:t>
      </w:r>
    </w:p>
    <w:p>
      <w:pPr>
        <w:widowControl/>
        <w:spacing w:line="276" w:lineRule="auto" w:before="180" w:after="180"/>
        <w:jc w:val="both"/>
      </w:pPr>
      <w:r>
        <w:rPr>
          <w:rFonts w:ascii="Times New Roman" w:hAnsi="Times New Roman"/>
          <w:sz w:val="22"/>
        </w:rP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pPr>
        <w:widowControl/>
        <w:spacing w:line="276" w:lineRule="auto" w:before="180" w:after="180"/>
        <w:jc w:val="both"/>
      </w:pPr>
      <w:r>
        <w:rPr>
          <w:rFonts w:ascii="Times New Roman" w:hAnsi="Times New Roman"/>
          <w:sz w:val="22"/>
        </w:rPr>
        <w:t>En los archivos se conserva quién cargó y quién modificó, además del tamaño, MIME y fecha. En los datos emocionales se conserva el nombre source_file; ese nombre es trazabilidad de origen y no equivale a conservar una copia descargable del libro.</w:t>
      </w:r>
    </w:p>
    <w:p>
      <w:pPr>
        <w:keepNext/>
        <w:spacing w:before="180" w:after="180"/>
        <w:jc w:val="both"/>
      </w:pPr>
      <w:r>
        <w:rPr>
          <w:rFonts w:ascii="Times New Roman" w:hAnsi="Times New Roman"/>
          <w:b/>
          <w:sz w:val="22"/>
        </w:rPr>
        <w:t>SEPARACIÓN DE DOMINIOS</w:t>
      </w:r>
    </w:p>
    <w:p>
      <w:pPr>
        <w:widowControl/>
        <w:spacing w:line="276" w:lineRule="auto" w:before="180" w:after="180"/>
        <w:jc w:val="both"/>
      </w:pPr>
      <w:r>
        <w:rPr>
          <w:rFonts w:ascii="Times New Roman" w:hAnsi="Times New Roman"/>
          <w:sz w:val="22"/>
        </w:rP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pPr>
        <w:widowControl/>
        <w:spacing w:line="276" w:lineRule="auto" w:before="180" w:after="180"/>
        <w:jc w:val="both"/>
      </w:pPr>
      <w:r>
        <w:rPr>
          <w:rFonts w:ascii="Times New Roman" w:hAnsi="Times New Roman"/>
          <w:sz w:val="22"/>
        </w:rPr>
        <w:t>El esquema conserva tablas estándar de Laravel para sesiones, caché y colas según la configuración. Su presencia no acredita que las importaciones se ejecuten como trabajos en segundo plano: los flujos de carga revisados son síncronos.</w:t>
      </w:r>
    </w:p>
    <w:p>
      <w:pPr>
        <w:keepNext/>
        <w:spacing w:before="180" w:after="180"/>
        <w:jc w:val="both"/>
      </w:pPr>
      <w:r>
        <w:rPr>
          <w:rFonts w:ascii="Times New Roman" w:hAnsi="Times New Roman"/>
          <w:b/>
          <w:sz w:val="22"/>
        </w:rPr>
        <w:t>4 IDENTIDAD Y CONTROL DE ACCESO</w:t>
      </w:r>
    </w:p>
    <w:p>
      <w:pPr>
        <w:keepNext/>
        <w:spacing w:before="180" w:after="180"/>
        <w:jc w:val="both"/>
      </w:pPr>
      <w:r>
        <w:rPr>
          <w:rFonts w:ascii="Times New Roman" w:hAnsi="Times New Roman"/>
          <w:b/>
          <w:sz w:val="22"/>
        </w:rPr>
        <w:t>AUTENTICACIÓN POR SESIÓN</w:t>
      </w:r>
    </w:p>
    <w:p>
      <w:pPr>
        <w:widowControl/>
        <w:spacing w:line="276" w:lineRule="auto" w:before="180" w:after="180"/>
        <w:jc w:val="both"/>
      </w:pPr>
      <w:r>
        <w:rPr>
          <w:rFonts w:ascii="Times New Roman" w:hAnsi="Times New Roman"/>
          <w:sz w:val="22"/>
        </w:rP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pPr>
        <w:widowControl/>
        <w:spacing w:line="276" w:lineRule="auto" w:before="180" w:after="180"/>
        <w:jc w:val="both"/>
      </w:pPr>
      <w:r>
        <w:rPr>
          <w:rFonts w:ascii="Times New Roman" w:hAnsi="Times New Roman"/>
          <w:sz w:val="22"/>
        </w:rP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keepNext/>
        <w:spacing w:before="180" w:after="180"/>
        <w:jc w:val="both"/>
      </w:pPr>
      <w:r>
        <w:rPr>
          <w:rFonts w:ascii="Times New Roman" w:hAnsi="Times New Roman"/>
          <w:b/>
          <w:sz w:val="22"/>
        </w:rPr>
        <w:t>MODELO GLOBAL ACTUAL</w:t>
      </w:r>
    </w:p>
    <w:p>
      <w:pPr>
        <w:widowControl/>
        <w:spacing w:line="276" w:lineRule="auto" w:before="180" w:after="180"/>
        <w:jc w:val="both"/>
      </w:pPr>
      <w:r>
        <w:rPr>
          <w:rFonts w:ascii="Times New Roman" w:hAnsi="Times New Roman"/>
          <w:sz w:val="22"/>
        </w:rP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p>
      <w:pPr>
        <w:keepNext/>
        <w:spacing w:before="180" w:after="120"/>
        <w:jc w:val="center"/>
      </w:pPr>
      <w:r>
        <w:rPr>
          <w:rFonts w:ascii="Times New Roman" w:hAnsi="Times New Roman"/>
          <w:b/>
          <w:sz w:val="22"/>
        </w:rPr>
        <w:t>Tabla 5. Permisos por módulo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44"/>
        <w:gridCol w:w="7616"/>
      </w:tblGrid>
      <w:tr>
        <w:trPr>
          <w:cantSplit/>
          <w:tblHeader/>
        </w:trPr>
        <w:tc>
          <w:tcPr>
            <w:tcW w:type="dxa" w:w="174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Asignación</w:t>
            </w:r>
          </w:p>
        </w:tc>
        <w:tc>
          <w:tcPr>
            <w:tcW w:type="dxa" w:w="761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Permisos del conjunto</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escenarios.leer, crear, actualizar, eliminar, invitar y versionar; archivos.leer y archivos.actualizar.</w:t>
            </w:r>
          </w:p>
        </w:tc>
      </w:tr>
      <w:tr>
        <w:trPr>
          <w:cantSplit/>
        </w:trPr>
        <w:tc>
          <w:tcPr>
            <w:tcW w:type="dxa" w:w="174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61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emociones.leer, emociones.cargar y emociones.invitar.</w:t>
            </w:r>
          </w:p>
        </w:tc>
      </w:tr>
      <w:tr>
        <w:trPr>
          <w:cantSplit/>
        </w:trPr>
        <w:tc>
          <w:tcPr>
            <w:tcW w:type="dxa" w:w="174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Administración</w:t>
            </w:r>
          </w:p>
        </w:tc>
        <w:tc>
          <w:tcPr>
            <w:tcW w:type="dxa" w:w="761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usuarios.gestionar y roles.gestionar existen en el catálogo; las rutas de administración exigen además role:admin.</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keepNext/>
        <w:spacing w:before="180" w:after="180"/>
        <w:jc w:val="both"/>
      </w:pPr>
      <w:r>
        <w:rPr>
          <w:rFonts w:ascii="Times New Roman" w:hAnsi="Times New Roman"/>
          <w:b/>
          <w:sz w:val="22"/>
        </w:rPr>
        <w:t>ACCESO DENTRO DEL ESCENARIO</w:t>
      </w:r>
    </w:p>
    <w:p>
      <w:pPr>
        <w:keepNext/>
        <w:spacing w:before="180" w:after="120"/>
        <w:jc w:val="center"/>
      </w:pPr>
      <w:r>
        <w:rPr>
          <w:rFonts w:ascii="Times New Roman" w:hAnsi="Times New Roman"/>
          <w:b/>
          <w:sz w:val="22"/>
        </w:rPr>
        <w:t>Tabla 6. Niveles de acceso al escenario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562"/>
        <w:gridCol w:w="7798"/>
      </w:tblGrid>
      <w:tr>
        <w:trPr>
          <w:cantSplit/>
          <w:tblHeader/>
        </w:trPr>
        <w:tc>
          <w:tcPr>
            <w:tcW w:type="dxa" w:w="156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Nivel</w:t>
            </w:r>
          </w:p>
        </w:tc>
        <w:tc>
          <w:tcPr>
            <w:tcW w:type="dxa" w:w="779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Capacidad efectiva por rutas y controlador</w:t>
            </w:r>
          </w:p>
        </w:tc>
      </w:tr>
      <w:tr>
        <w:trPr>
          <w:cantSplit/>
        </w:trPr>
        <w:tc>
          <w:tcPr>
            <w:tcW w:type="dxa" w:w="15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owner</w:t>
            </w:r>
          </w:p>
        </w:tc>
        <w:tc>
          <w:tcPr>
            <w:tcW w:type="dxa" w:w="77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descarga, edición, carga de versiones, gestión de miembros y eliminación, sujeto a permisos globales.</w:t>
            </w:r>
          </w:p>
        </w:tc>
      </w:tr>
      <w:tr>
        <w:trPr>
          <w:cantSplit/>
        </w:trPr>
        <w:tc>
          <w:tcPr>
            <w:tcW w:type="dxa" w:w="15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supervisor</w:t>
            </w:r>
          </w:p>
        </w:tc>
        <w:tc>
          <w:tcPr>
            <w:tcW w:type="dxa" w:w="77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 y descarga; puede editar nombre, descripción y estado. No puede reemplazar archivos.</w:t>
            </w:r>
          </w:p>
        </w:tc>
      </w:tr>
      <w:tr>
        <w:trPr>
          <w:cantSplit/>
        </w:trPr>
        <w:tc>
          <w:tcPr>
            <w:tcW w:type="dxa" w:w="15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editor</w:t>
            </w:r>
          </w:p>
        </w:tc>
        <w:tc>
          <w:tcPr>
            <w:tcW w:type="dxa" w:w="77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y descarga. El nombre del nivel no habilita la ruta de edición ni la carga de versiones.</w:t>
            </w:r>
          </w:p>
        </w:tc>
      </w:tr>
      <w:tr>
        <w:trPr>
          <w:cantSplit/>
        </w:trPr>
        <w:tc>
          <w:tcPr>
            <w:tcW w:type="dxa" w:w="15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admin</w:t>
            </w:r>
          </w:p>
        </w:tc>
        <w:tc>
          <w:tcPr>
            <w:tcW w:type="dxa" w:w="77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 global, corrección del nombre y eliminación. No puede crear escenarios; gestionar miembros exige ser propietario.</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keepNext/>
        <w:spacing w:before="180" w:after="180"/>
        <w:jc w:val="both"/>
      </w:pPr>
      <w:r>
        <w:rPr>
          <w:rFonts w:ascii="Times New Roman" w:hAnsi="Times New Roman"/>
          <w:b/>
          <w:sz w:val="22"/>
        </w:rPr>
        <w:t>5 GESTIÓN DEL CICLO DE UN ESCENARIO</w:t>
      </w:r>
    </w:p>
    <w:p>
      <w:pPr>
        <w:keepNext/>
        <w:spacing w:before="180" w:after="180"/>
        <w:jc w:val="both"/>
      </w:pPr>
      <w:r>
        <w:rPr>
          <w:rFonts w:ascii="Times New Roman" w:hAnsi="Times New Roman"/>
          <w:b/>
          <w:sz w:val="22"/>
        </w:rPr>
        <w:t>CREACIÓN Y ORGANIZACIÓN</w:t>
      </w:r>
    </w:p>
    <w:p>
      <w:pPr>
        <w:widowControl/>
        <w:spacing w:line="276" w:lineRule="auto" w:before="180" w:after="180"/>
        <w:jc w:val="both"/>
      </w:pPr>
      <w:r>
        <w:rPr>
          <w:rFonts w:ascii="Times New Roman" w:hAnsi="Times New Roman"/>
          <w:sz w:val="22"/>
        </w:rPr>
        <w:t>Crear un escenario requiere escenarios.crear, nombre único de hasta 255 caracteres, descripción de hasta 2.000 caracteres y entre uno y diez archivos. Cada archivo admite hasta 51.200 KiB y debe ser XLSX, XLS, DOC o DOCX. El formulario actual permite seleccionar varios documentos en una sola operación.</w:t>
      </w:r>
    </w:p>
    <w:p>
      <w:pPr>
        <w:widowControl/>
        <w:spacing w:line="276" w:lineRule="auto" w:before="180" w:after="180"/>
        <w:jc w:val="both"/>
      </w:pPr>
      <w:r>
        <w:rPr>
          <w:rFonts w:ascii="Times New Roman" w:hAnsi="Times New Roman"/>
          <w:sz w:val="22"/>
        </w:rPr>
        <w:t>El servidor asigna al creador como owner, añade su pertenencia en escenarios_users, establece estado Activo y versión inicial 1.0. Guarda un directorio estable con identificador y nombre normalizado. Cambiar después el nombre visible no renombra el almacenamiento.</w:t>
      </w:r>
    </w:p>
    <w:p>
      <w:pPr>
        <w:widowControl/>
        <w:spacing w:line="240" w:lineRule="auto" w:before="180" w:after="180"/>
        <w:jc w:val="both"/>
      </w:pPr>
      <w:r>
        <w:rPr>
          <w:rFonts w:ascii="Consolas" w:hAnsi="Consolas"/>
          <w:sz w:val="18"/>
        </w:rPr>
        <w:t>storage/app/public/escenarios/{id}-{nombre}/1.0/</w:t>
        <w:br/>
        <w:t xml:space="preserve">    resultados.xlsx</w:t>
        <w:br/>
        <w:t xml:space="preserve">    referencia.xlsx</w:t>
        <w:br/>
        <w:t xml:space="preserve">    manual.docx</w:t>
      </w:r>
    </w:p>
    <w:p>
      <w:pPr>
        <w:keepNext/>
        <w:spacing w:before="180" w:after="180"/>
        <w:jc w:val="both"/>
      </w:pPr>
      <w:r>
        <w:rPr>
          <w:rFonts w:ascii="Times New Roman" w:hAnsi="Times New Roman"/>
          <w:b/>
          <w:sz w:val="22"/>
        </w:rPr>
        <w:t>ACTUALIZACIÓN Y COLABORACIÓN</w:t>
      </w:r>
    </w:p>
    <w:p>
      <w:pPr>
        <w:widowControl/>
        <w:spacing w:line="276" w:lineRule="auto" w:before="180" w:after="180"/>
        <w:jc w:val="both"/>
      </w:pPr>
      <w:r>
        <w:rPr>
          <w:rFonts w:ascii="Times New Roman" w:hAnsi="Times New Roman"/>
          <w:sz w:val="22"/>
        </w:rPr>
        <w:t>El propietario puede modificar metadatos, añadir hasta diez archivos desde la operación de contenidos y reemplazar un archivo desde la edición del escenario. El supervisor puede modificar metadatos, pero no reemplazar archivos. Para un administrador, la actualización se limita a corregir el nombre; el controlador no aplica la edición operativa completa.</w:t>
      </w:r>
    </w:p>
    <w:p>
      <w:pPr>
        <w:widowControl/>
        <w:spacing w:line="276" w:lineRule="auto" w:before="180" w:after="180"/>
        <w:jc w:val="both"/>
      </w:pPr>
      <w:r>
        <w:rPr>
          <w:rFonts w:ascii="Times New Roman" w:hAnsi="Times New Roman"/>
          <w:sz w:val="22"/>
        </w:rP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keepNext/>
        <w:spacing w:before="180" w:after="180"/>
        <w:jc w:val="both"/>
      </w:pPr>
      <w:r>
        <w:rPr>
          <w:rFonts w:ascii="Times New Roman" w:hAnsi="Times New Roman"/>
          <w:b/>
          <w:sz w:val="22"/>
        </w:rPr>
        <w:t>ALMACENAMIENTO DE VERSIONES</w:t>
      </w:r>
    </w:p>
    <w:p>
      <w:pPr>
        <w:widowControl/>
        <w:spacing w:line="276" w:lineRule="auto" w:before="180" w:after="180"/>
        <w:jc w:val="both"/>
      </w:pPr>
      <w:r>
        <w:rPr>
          <w:rFonts w:ascii="Times New Roman" w:hAnsi="Times New Roman"/>
          <w:sz w:val="22"/>
        </w:rP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pPr>
        <w:widowControl/>
        <w:spacing w:line="276" w:lineRule="auto" w:before="180" w:after="180"/>
        <w:jc w:val="both"/>
      </w:pPr>
      <w:r>
        <w:rPr>
          <w:rFonts w:ascii="Times New Roman" w:hAnsi="Times New Roman"/>
          <w:sz w:val="22"/>
        </w:rPr>
        <w:t>Los nombres nuevos se agregan a la carpeta de la versión vigente. Los documentos Word y los Excel que no coinciden con el esquema solar se conservan como tipo documento y quedan disponibles para descarga. Un Excel reconocido se marca como datos, persiste sus mediciones y puede originar una publicación solar.</w:t>
      </w:r>
    </w:p>
    <w:p>
      <w:pPr>
        <w:keepNext/>
        <w:spacing w:before="180" w:after="180"/>
        <w:jc w:val="both"/>
      </w:pPr>
      <w:r>
        <w:rPr>
          <w:rFonts w:ascii="Times New Roman" w:hAnsi="Times New Roman"/>
          <w:b/>
          <w:sz w:val="22"/>
        </w:rPr>
        <w:t>TRANSACCIONES Y DESCARGAS</w:t>
      </w:r>
    </w:p>
    <w:p>
      <w:pPr>
        <w:widowControl/>
        <w:spacing w:line="276" w:lineRule="auto" w:before="180" w:after="180"/>
        <w:jc w:val="both"/>
      </w:pPr>
      <w:r>
        <w:rPr>
          <w:rFonts w:ascii="Times New Roman" w:hAnsi="Times New Roman"/>
          <w:sz w:val="22"/>
        </w:rP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pPr>
        <w:widowControl/>
        <w:spacing w:line="276" w:lineRule="auto" w:before="180" w:after="180"/>
        <w:jc w:val="both"/>
      </w:pPr>
      <w:r>
        <w:rPr>
          <w:rFonts w:ascii="Times New Roman" w:hAnsi="Times New Roman"/>
          <w:sz w:val="22"/>
        </w:rP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keepNext/>
        <w:spacing w:before="180" w:after="180"/>
        <w:jc w:val="both"/>
      </w:pPr>
      <w:r>
        <w:rPr>
          <w:rFonts w:ascii="Times New Roman" w:hAnsi="Times New Roman"/>
          <w:b/>
          <w:sz w:val="22"/>
        </w:rPr>
        <w:t>6 CONTRATO DE IMPORTACIÓN SOLAR</w:t>
      </w:r>
    </w:p>
    <w:p>
      <w:pPr>
        <w:widowControl/>
        <w:spacing w:line="276" w:lineRule="auto" w:before="180" w:after="180"/>
        <w:jc w:val="both"/>
      </w:pPr>
      <w:r>
        <w:rPr>
          <w:rFonts w:ascii="Times New Roman" w:hAnsi="Times New Roman"/>
          <w:sz w:val="22"/>
        </w:rPr>
        <w:t>ScenarioSolarImport reconoce por estructura cualquier XLSX o XLS, sin exigir un nombre específico. Debe contener las cuatro hojas Minutos, Cada5min, Cada10min y Horas. Cada hoja requiere 13 columnas y como máximo 10.000 registros. OFFICIAL_FILENAME permanece únicamente como constante obsoleta para compatibilidad y pruebas.</w:t>
      </w:r>
    </w:p>
    <w:p>
      <w:pPr>
        <w:keepNext/>
        <w:spacing w:before="180" w:after="120"/>
        <w:jc w:val="center"/>
      </w:pPr>
      <w:r>
        <w:rPr>
          <w:rFonts w:ascii="Times New Roman" w:hAnsi="Times New Roman"/>
          <w:b/>
          <w:sz w:val="22"/>
        </w:rPr>
        <w:t>Tabla 7. Contrato de campos solares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818"/>
        <w:gridCol w:w="2985"/>
        <w:gridCol w:w="3557"/>
      </w:tblGrid>
      <w:tr>
        <w:trPr>
          <w:cantSplit/>
          <w:tblHeader/>
        </w:trPr>
        <w:tc>
          <w:tcPr>
            <w:tcW w:type="dxa" w:w="281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Columna del libro</w:t>
            </w:r>
          </w:p>
        </w:tc>
        <w:tc>
          <w:tcPr>
            <w:tcW w:type="dxa" w:w="29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 persistido</w:t>
            </w:r>
          </w:p>
        </w:tc>
        <w:tc>
          <w:tcPr>
            <w:tcW w:type="dxa" w:w="35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Unidad o regla</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Hora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tiempo_minutos</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no negativo; Horas se multiplica por 60.</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Caudal</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caudal</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m³/h</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Radiación solar</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radiacion_solar</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W/m²</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Teperatura o Temperatura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temperatura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 admite ambas grafías normalizadas.</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Velocidad del viento</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velocidad_viento</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m/s</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Potencia solar</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potencia_solar</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Potencia neta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potencia_neta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Energía almacenada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energia_almacenada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Libro rotulado W; unidad pendiente de validación.</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Consumo planta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consumo_planta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Agua desalinizada</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agua_desalinizada</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m³</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Salmuera</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salmuera</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m³</w:t>
            </w:r>
          </w:p>
        </w:tc>
      </w:tr>
      <w:tr>
        <w:trPr>
          <w:cantSplit/>
        </w:trPr>
        <w:tc>
          <w:tcPr>
            <w:tcW w:type="dxa" w:w="281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Lodos gruesos</w:t>
            </w:r>
          </w:p>
        </w:tc>
        <w:tc>
          <w:tcPr>
            <w:tcW w:type="dxa" w:w="29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lodos_gruesos</w:t>
            </w:r>
          </w:p>
        </w:tc>
        <w:tc>
          <w:tcPr>
            <w:tcW w:type="dxa" w:w="35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Entero de paquetes de 10 kg.</w:t>
            </w:r>
          </w:p>
        </w:tc>
      </w:tr>
      <w:tr>
        <w:trPr>
          <w:cantSplit/>
        </w:trPr>
        <w:tc>
          <w:tcPr>
            <w:tcW w:type="dxa" w:w="281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Lodos finos</w:t>
            </w:r>
          </w:p>
        </w:tc>
        <w:tc>
          <w:tcPr>
            <w:tcW w:type="dxa" w:w="29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lodos_finos</w:t>
            </w:r>
          </w:p>
        </w:tc>
        <w:tc>
          <w:tcPr>
            <w:tcW w:type="dxa" w:w="35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de paquetes de 10 kg.</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REGLAS DE VALIDACIÓN</w:t>
      </w:r>
    </w:p>
    <w:p>
      <w:pPr>
        <w:widowControl/>
        <w:spacing w:line="276" w:lineRule="auto" w:before="180" w:after="180"/>
        <w:jc w:val="both"/>
      </w:pPr>
      <w:r>
        <w:rPr>
          <w:rFonts w:ascii="Times New Roman" w:hAnsi="Times New Roman"/>
          <w:sz w:val="22"/>
        </w:rPr>
        <w:t>Los encabezados deben corresponder al formato y sus unidades, sin duplicados. Se normalizan acentos, símbolos y separadores, y se localizan las columnas por encabezado, por lo que su orden puede variar. Una hoja requerida ausente, repetida o sin mediciones hace que el archivo no sea reconocido como datos solares.</w:t>
      </w:r>
    </w:p>
    <w:p>
      <w:pPr>
        <w:widowControl/>
        <w:spacing w:line="276" w:lineRule="auto" w:before="180" w:after="180"/>
        <w:jc w:val="both"/>
      </w:pPr>
      <w:r>
        <w:rPr>
          <w:rFonts w:ascii="Times New Roman" w:hAnsi="Times New Roman"/>
          <w:sz w:val="22"/>
        </w:rP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Un Excel que no supera estas reglas se almacena como documento, sin publicar mediciones ni devolver un error específico del esquema solar.</w:t>
      </w:r>
    </w:p>
    <w:p>
      <w:pPr>
        <w:keepNext/>
        <w:spacing w:before="180" w:after="180"/>
        <w:jc w:val="both"/>
      </w:pPr>
      <w:r>
        <w:rPr>
          <w:rFonts w:ascii="Times New Roman" w:hAnsi="Times New Roman"/>
          <w:b/>
          <w:sz w:val="22"/>
        </w:rPr>
        <w:t>PERSISTENCIA E INTERPRETACIÓN</w:t>
      </w:r>
    </w:p>
    <w:p>
      <w:pPr>
        <w:widowControl/>
        <w:spacing w:line="276" w:lineRule="auto" w:before="180" w:after="180"/>
        <w:jc w:val="both"/>
      </w:pPr>
      <w:r>
        <w:rPr>
          <w:rFonts w:ascii="Times New Roman" w:hAnsi="Times New Roman"/>
          <w:sz w:val="22"/>
        </w:rP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pPr>
        <w:widowControl/>
        <w:spacing w:line="276" w:lineRule="auto" w:before="180" w:after="180"/>
        <w:jc w:val="both"/>
      </w:pPr>
      <w:r>
        <w:rPr>
          <w:rFonts w:ascii="Times New Roman" w:hAnsi="Times New Roman"/>
          <w:sz w:val="22"/>
        </w:rP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keepNext/>
        <w:spacing w:before="180" w:after="180"/>
        <w:jc w:val="both"/>
      </w:pPr>
      <w:r>
        <w:rPr>
          <w:rFonts w:ascii="Times New Roman" w:hAnsi="Times New Roman"/>
          <w:b/>
          <w:sz w:val="22"/>
        </w:rPr>
        <w:t>7 CONSULTA Y ANÁLISIS DE RESULTADOS SOLARES</w:t>
      </w:r>
    </w:p>
    <w:p>
      <w:pPr>
        <w:keepNext/>
        <w:spacing w:before="180" w:after="180"/>
        <w:jc w:val="both"/>
      </w:pPr>
      <w:r>
        <w:rPr>
          <w:rFonts w:ascii="Times New Roman" w:hAnsi="Times New Roman"/>
          <w:b/>
          <w:sz w:val="22"/>
        </w:rPr>
        <w:t>SELECCIÓN DE INFORMACIÓN</w:t>
      </w:r>
    </w:p>
    <w:p>
      <w:pPr>
        <w:widowControl/>
        <w:spacing w:line="276" w:lineRule="auto" w:before="180" w:after="180"/>
        <w:jc w:val="both"/>
      </w:pPr>
      <w:r>
        <w:rPr>
          <w:rFonts w:ascii="Times New Roman" w:hAnsi="Times New Roman"/>
          <w:sz w:val="22"/>
        </w:rPr>
        <w:t>La vista de resultados consulta los escenarios accesibles y todas sus publicaciones solares. El usuario selecciona escenario, versión de datos y hoja de muestreo. La lista distingue la publicación más reciente de las históricas mediante data_version_id, version_datos y es_actual. Cada intervalo mantiene filtros propios: variable, rango temporal, umbral, evento y opción de mostrar solo cambios.</w:t>
      </w:r>
    </w:p>
    <w:p>
      <w:pPr>
        <w:widowControl/>
        <w:spacing w:line="276" w:lineRule="auto" w:before="180" w:after="180"/>
        <w:jc w:val="both"/>
      </w:pPr>
      <w:r>
        <w:rPr>
          <w:rFonts w:ascii="Times New Roman" w:hAnsi="Times New Roman"/>
          <w:sz w:val="22"/>
        </w:rPr>
        <w:t>La respuesta adapta nombres como radiacion_solar a irradiancia_w_m2 y consumo_planta a potencia_consumida_planta_w. Las series completas se conservan dentro de archivos y la respuesta incluye además version_actual y un resumen versiones sin mediciones. La tabla se pagina en el navegador con 15 filas por defecto; la paginación no reduce el JSON recibido.</w:t>
      </w:r>
    </w:p>
    <w:p>
      <w:pPr>
        <w:keepNext/>
        <w:spacing w:before="180" w:after="180"/>
        <w:jc w:val="both"/>
      </w:pPr>
      <w:r>
        <w:rPr>
          <w:rFonts w:ascii="Times New Roman" w:hAnsi="Times New Roman"/>
          <w:b/>
          <w:sz w:val="22"/>
        </w:rPr>
        <w:t>ALGORITMO DE DETECCIÓN</w:t>
      </w:r>
    </w:p>
    <w:p>
      <w:pPr>
        <w:keepNext/>
        <w:spacing w:before="180" w:after="120"/>
        <w:jc w:val="center"/>
      </w:pPr>
      <w:r>
        <w:rPr>
          <w:rFonts w:ascii="Times New Roman" w:hAnsi="Times New Roman"/>
          <w:b/>
          <w:sz w:val="22"/>
        </w:rPr>
        <w:t>Tabla 8. Reglas de detección de cambios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11"/>
        <w:gridCol w:w="6849"/>
      </w:tblGrid>
      <w:tr>
        <w:trPr>
          <w:cantSplit/>
          <w:tblHeader/>
        </w:trPr>
        <w:tc>
          <w:tcPr>
            <w:tcW w:type="dxa" w:w="2511"/>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Situación</w:t>
            </w:r>
          </w:p>
        </w:tc>
        <w:tc>
          <w:tcPr>
            <w:tcW w:type="dxa" w:w="6849"/>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Regla implementada</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Inicio solar</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Valor anterior ≤ umbral y valor actual &gt; umbral.</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Fin solar</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anterior &gt; umbral y valor actual ≤ umbral.</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Déficit de potencia neta</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Valor anterior ≥ 0 y valor actual &lt; 0.</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Excedente de potencia neta</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anterior ≤ 0 y valor actual &gt; 0.</w:t>
            </w:r>
          </w:p>
        </w:tc>
      </w:tr>
      <w:tr>
        <w:trPr>
          <w:cantSplit/>
        </w:trPr>
        <w:tc>
          <w:tcPr>
            <w:tcW w:type="dxa" w:w="2511"/>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Variación general</w:t>
            </w:r>
          </w:p>
        </w:tc>
        <w:tc>
          <w:tcPr>
            <w:tcW w:type="dxa" w:w="6849"/>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 evento anterior aplicable, diferencia absoluta &gt; umbral.</w:t>
            </w:r>
          </w:p>
        </w:tc>
      </w:tr>
      <w:tr>
        <w:trPr>
          <w:cantSplit/>
        </w:trPr>
        <w:tc>
          <w:tcPr>
            <w:tcW w:type="dxa" w:w="2511"/>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Continuidad</w:t>
            </w:r>
          </w:p>
        </w:tc>
        <w:tc>
          <w:tcPr>
            <w:tcW w:type="dxa" w:w="6849"/>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Solo se detecta evento entre muestras consecutivas con diferencia temporal igual al intervalo y ambos valores presentes.</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keepNext/>
        <w:spacing w:before="180" w:after="180"/>
        <w:jc w:val="both"/>
      </w:pPr>
      <w:r>
        <w:rPr>
          <w:rFonts w:ascii="Times New Roman" w:hAnsi="Times New Roman"/>
          <w:b/>
          <w:sz w:val="22"/>
        </w:rPr>
        <w:t>PRESENTACIÓN DE LOS RESULTADOS</w:t>
      </w:r>
    </w:p>
    <w:p>
      <w:pPr>
        <w:widowControl/>
        <w:spacing w:line="276" w:lineRule="auto" w:before="180" w:after="180"/>
        <w:jc w:val="both"/>
      </w:pPr>
      <w:r>
        <w:rPr>
          <w:rFonts w:ascii="Times New Roman" w:hAnsi="Times New Roman"/>
          <w:sz w:val="22"/>
        </w:rP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pPr>
        <w:widowControl/>
        <w:spacing w:line="276" w:lineRule="auto" w:before="180" w:after="180"/>
        <w:jc w:val="both"/>
      </w:pPr>
      <w:r>
        <w:rPr>
          <w:rFonts w:ascii="Times New Roman" w:hAnsi="Times New Roman"/>
          <w:sz w:val="22"/>
        </w:rP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keepNext/>
        <w:spacing w:before="180" w:after="180"/>
        <w:jc w:val="both"/>
      </w:pPr>
      <w:r>
        <w:rPr>
          <w:rFonts w:ascii="Times New Roman" w:hAnsi="Times New Roman"/>
          <w:b/>
          <w:sz w:val="22"/>
        </w:rPr>
        <w:t>LÍMITES CIENTÍFICOS</w:t>
      </w:r>
    </w:p>
    <w:p>
      <w:pPr>
        <w:widowControl/>
        <w:spacing w:line="276" w:lineRule="auto" w:before="180" w:after="180"/>
        <w:jc w:val="both"/>
      </w:pPr>
      <w:r>
        <w:rPr>
          <w:rFonts w:ascii="Times New Roman" w:hAnsi="Times New Roman"/>
          <w:sz w:val="22"/>
        </w:rP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La pantalla de Resultados se concentra en publicaciones solares reconocidas.</w:t>
      </w:r>
    </w:p>
    <w:p>
      <w:pPr>
        <w:keepNext/>
        <w:spacing w:before="180" w:after="180"/>
        <w:jc w:val="both"/>
      </w:pPr>
      <w:r>
        <w:rPr>
          <w:rFonts w:ascii="Times New Roman" w:hAnsi="Times New Roman"/>
          <w:b/>
          <w:sz w:val="22"/>
        </w:rPr>
        <w:t>8 PUBLICACIÓN SOLAR Y CONSUMO DESDE UNITY</w:t>
      </w:r>
    </w:p>
    <w:p>
      <w:pPr>
        <w:keepNext/>
        <w:spacing w:before="180" w:after="180"/>
        <w:jc w:val="both"/>
      </w:pPr>
      <w:r>
        <w:rPr>
          <w:rFonts w:ascii="Times New Roman" w:hAnsi="Times New Roman"/>
          <w:b/>
          <w:sz w:val="22"/>
        </w:rPr>
        <w:t>DOS VERSIONES CON PROPÓSITOS DISTINTOS</w:t>
      </w:r>
    </w:p>
    <w:p>
      <w:pPr>
        <w:widowControl/>
        <w:spacing w:line="276" w:lineRule="auto" w:before="180" w:after="180"/>
        <w:jc w:val="both"/>
      </w:pPr>
      <w:r>
        <w:rPr>
          <w:rFonts w:ascii="Times New Roman" w:hAnsi="Times New Roman"/>
          <w:sz w:val="22"/>
        </w:rP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pPr>
        <w:widowControl/>
        <w:spacing w:line="276" w:lineRule="auto" w:before="180" w:after="180"/>
        <w:jc w:val="both"/>
      </w:pPr>
      <w:r>
        <w:rPr>
          <w:rFonts w:ascii="Times New Roman" w:hAnsi="Times New Roman"/>
          <w:sz w:val="22"/>
        </w:rP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keepNext/>
        <w:spacing w:before="180" w:after="180"/>
        <w:jc w:val="both"/>
      </w:pPr>
      <w:r>
        <w:rPr>
          <w:rFonts w:ascii="Times New Roman" w:hAnsi="Times New Roman"/>
          <w:b/>
          <w:sz w:val="22"/>
        </w:rPr>
        <w:t>MANIFIESTO DE ACTUALIZACIÓN</w:t>
      </w:r>
    </w:p>
    <w:p>
      <w:pPr>
        <w:widowControl/>
        <w:spacing w:line="240" w:lineRule="auto" w:before="180" w:after="180"/>
        <w:jc w:val="both"/>
      </w:pPr>
      <w:r>
        <w:rPr>
          <w:rFonts w:ascii="Consolas" w:hAnsi="Consolas"/>
          <w:sz w:val="18"/>
        </w:rPr>
        <w:t>GET /api/escenarios/{id}/versiones-datos</w:t>
        <w:br/>
        <w:t xml:space="preserve">    ?tipo=solar&amp;version_actual=1.0&amp;sha256_actual={hash}</w:t>
      </w:r>
    </w:p>
    <w:p>
      <w:pPr>
        <w:keepNext/>
        <w:spacing w:before="180" w:after="120"/>
        <w:jc w:val="center"/>
      </w:pPr>
      <w:r>
        <w:rPr>
          <w:rFonts w:ascii="Times New Roman" w:hAnsi="Times New Roman"/>
          <w:b/>
          <w:sz w:val="22"/>
        </w:rPr>
        <w:t>Tabla 9. Estados del manifiesto de actualización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790"/>
        <w:gridCol w:w="6570"/>
      </w:tblGrid>
      <w:tr>
        <w:trPr>
          <w:cantSplit/>
          <w:tblHeader/>
        </w:trPr>
        <w:tc>
          <w:tcPr>
            <w:tcW w:type="dxa" w:w="279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Estado</w:t>
            </w:r>
          </w:p>
        </w:tc>
        <w:tc>
          <w:tcPr>
            <w:tcW w:type="dxa" w:w="657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Interpretación para el cliente</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sin_datos</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No existe una publicación solar para el escenario.</w:t>
            </w:r>
          </w:p>
        </w:tc>
      </w:tr>
      <w:tr>
        <w:trPr>
          <w:cantSplit/>
        </w:trPr>
        <w:tc>
          <w:tcPr>
            <w:tcW w:type="dxa" w:w="279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descarga_inicial</w:t>
            </w:r>
          </w:p>
        </w:tc>
        <w:tc>
          <w:tcPr>
            <w:tcW w:type="dxa" w:w="657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Existe publicación y no se envió version_actual.</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sin_cambios</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versión coincide y no se detecta discrepancia del hash enviado.</w:t>
            </w:r>
          </w:p>
        </w:tc>
      </w:tr>
      <w:tr>
        <w:trPr>
          <w:cantSplit/>
        </w:trPr>
        <w:tc>
          <w:tcPr>
            <w:tcW w:type="dxa" w:w="279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actualizacion_disponible</w:t>
            </w:r>
          </w:p>
        </w:tc>
        <w:tc>
          <w:tcPr>
            <w:tcW w:type="dxa" w:w="657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versión difiere o el hash difiere para la misma versión.</w:t>
            </w:r>
          </w:p>
        </w:tc>
      </w:tr>
      <w:tr>
        <w:trPr>
          <w:cantSplit/>
        </w:trPr>
        <w:tc>
          <w:tcPr>
            <w:tcW w:type="dxa" w:w="279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version_local_posterior</w:t>
            </w:r>
          </w:p>
        </w:tc>
        <w:tc>
          <w:tcPr>
            <w:tcW w:type="dxa" w:w="657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versión local supera la del servidor; conservar y revisar antes de reemplazar.</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keepNext/>
        <w:spacing w:before="180" w:after="180"/>
        <w:jc w:val="both"/>
      </w:pPr>
      <w:r>
        <w:rPr>
          <w:rFonts w:ascii="Times New Roman" w:hAnsi="Times New Roman"/>
          <w:b/>
          <w:sz w:val="22"/>
        </w:rPr>
        <w:t>DESCARGA Y CONSERVACIÓN LOCAL</w:t>
      </w:r>
    </w:p>
    <w:p>
      <w:pPr>
        <w:widowControl/>
        <w:spacing w:line="240" w:lineRule="auto" w:before="180" w:after="180"/>
        <w:jc w:val="both"/>
      </w:pPr>
      <w:r>
        <w:rPr>
          <w:rFonts w:ascii="Consolas" w:hAnsi="Consolas"/>
          <w:sz w:val="18"/>
        </w:rPr>
        <w:t>GET /api/escenarios/{id}/solar?version=1.1</w:t>
      </w:r>
    </w:p>
    <w:p>
      <w:pPr>
        <w:widowControl/>
        <w:spacing w:line="276" w:lineRule="auto" w:before="180" w:after="180"/>
        <w:jc w:val="both"/>
      </w:pPr>
      <w:r>
        <w:rPr>
          <w:rFonts w:ascii="Times New Roman" w:hAnsi="Times New Roman"/>
          <w:sz w:val="22"/>
        </w:rP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pPr>
        <w:widowControl/>
        <w:spacing w:line="276" w:lineRule="auto" w:before="180" w:after="180"/>
        <w:jc w:val="both"/>
      </w:pPr>
      <w:r>
        <w:rPr>
          <w:rFonts w:ascii="Times New Roman" w:hAnsi="Times New Roman"/>
          <w:sz w:val="22"/>
        </w:rP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keepNext/>
        <w:spacing w:before="180" w:after="180"/>
        <w:jc w:val="both"/>
      </w:pPr>
      <w:r>
        <w:rPr>
          <w:rFonts w:ascii="Times New Roman" w:hAnsi="Times New Roman"/>
          <w:b/>
          <w:sz w:val="22"/>
        </w:rPr>
        <w:t>9 GESTIÓN DE DATOS EMOCIONALES POR WEBINAR</w:t>
      </w:r>
    </w:p>
    <w:p>
      <w:pPr>
        <w:keepNext/>
        <w:spacing w:before="180" w:after="180"/>
        <w:jc w:val="both"/>
      </w:pPr>
      <w:r>
        <w:rPr>
          <w:rFonts w:ascii="Times New Roman" w:hAnsi="Times New Roman"/>
          <w:b/>
          <w:sz w:val="22"/>
        </w:rPr>
        <w:t>CATÁLOGO DE WEBINARS</w:t>
      </w:r>
    </w:p>
    <w:p>
      <w:pPr>
        <w:widowControl/>
        <w:spacing w:line="276" w:lineRule="auto" w:before="180" w:after="180"/>
        <w:jc w:val="both"/>
      </w:pPr>
      <w:r>
        <w:rPr>
          <w:rFonts w:ascii="Times New Roman" w:hAnsi="Times New Roman"/>
          <w:sz w:val="22"/>
        </w:rP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pPr>
        <w:widowControl/>
        <w:spacing w:line="276" w:lineRule="auto" w:before="180" w:after="180"/>
        <w:jc w:val="both"/>
      </w:pPr>
      <w:r>
        <w:rPr>
          <w:rFonts w:ascii="Times New Roman" w:hAnsi="Times New Roman"/>
          <w:sz w:val="22"/>
        </w:rP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keepNext/>
        <w:spacing w:before="180" w:after="180"/>
        <w:jc w:val="both"/>
      </w:pPr>
      <w:r>
        <w:rPr>
          <w:rFonts w:ascii="Times New Roman" w:hAnsi="Times New Roman"/>
          <w:b/>
          <w:sz w:val="22"/>
        </w:rPr>
        <w:t>CARGA Y REEMPLAZO</w:t>
      </w:r>
    </w:p>
    <w:p>
      <w:pPr>
        <w:widowControl/>
        <w:spacing w:line="276" w:lineRule="auto" w:before="180" w:after="180"/>
        <w:jc w:val="both"/>
      </w:pPr>
      <w:r>
        <w:rPr>
          <w:rFonts w:ascii="Times New Roman" w:hAnsi="Times New Roman"/>
          <w:sz w:val="22"/>
        </w:rPr>
        <w:t>La carga se ejecuta únicamente en POST /emociones-data con sesión activa y permiso emociones.cargar. Recibe el campo multipart archivo, con máximo de 51.200 KiB. Se aceptan libros XLSX o XLS reales con una única hoja y hasta 100.000 filas. El identificador de reunión se toma de cada fila; un mismo archivo puede contener varias reuniones.</w:t>
      </w:r>
    </w:p>
    <w:p>
      <w:pPr>
        <w:widowControl/>
        <w:spacing w:line="276" w:lineRule="auto" w:before="180" w:after="180"/>
        <w:jc w:val="both"/>
      </w:pPr>
      <w:r>
        <w:rPr>
          <w:rFonts w:ascii="Times New Roman" w:hAnsi="Times New Roman"/>
          <w:sz w:val="22"/>
        </w:rP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pPr>
        <w:widowControl/>
        <w:spacing w:line="276" w:lineRule="auto" w:before="180" w:after="180"/>
        <w:jc w:val="both"/>
      </w:pPr>
      <w:r>
        <w:rPr>
          <w:rFonts w:ascii="Times New Roman" w:hAnsi="Times New Roman"/>
          <w:sz w:val="22"/>
        </w:rP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keepNext/>
        <w:spacing w:before="180" w:after="180"/>
        <w:jc w:val="both"/>
      </w:pPr>
      <w:r>
        <w:rPr>
          <w:rFonts w:ascii="Times New Roman" w:hAnsi="Times New Roman"/>
          <w:b/>
          <w:sz w:val="22"/>
        </w:rPr>
        <w:t>CONSULTA DE RESULTADOS</w:t>
      </w:r>
    </w:p>
    <w:p>
      <w:pPr>
        <w:widowControl/>
        <w:spacing w:line="276" w:lineRule="auto" w:before="180" w:after="180"/>
        <w:jc w:val="both"/>
      </w:pPr>
      <w:r>
        <w:rPr>
          <w:rFonts w:ascii="Times New Roman" w:hAnsi="Times New Roman"/>
          <w:sz w:val="22"/>
        </w:rPr>
        <w:t>El detalle interno devuelve webinar y nombre_webinar,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w:t>
      </w:r>
    </w:p>
    <w:p>
      <w:pPr>
        <w:widowControl/>
        <w:spacing w:line="276" w:lineRule="auto" w:before="180" w:after="180"/>
        <w:jc w:val="both"/>
      </w:pPr>
      <w:r>
        <w:rPr>
          <w:rFonts w:ascii="Times New Roman" w:hAnsi="Times New Roman"/>
          <w:sz w:val="22"/>
        </w:rPr>
        <w:t>La plataforma no calcula las categorías del promedio a partir de las probabilidades de detalle. Entrega los valores recibidos en el libro. Tampoco publica versiones emocionales ni exige un escenario solar para consultar una reunión.</w:t>
      </w:r>
    </w:p>
    <w:p>
      <w:pPr>
        <w:keepNext/>
        <w:spacing w:before="180" w:after="180"/>
        <w:jc w:val="both"/>
      </w:pPr>
      <w:r>
        <w:rPr>
          <w:rFonts w:ascii="Times New Roman" w:hAnsi="Times New Roman"/>
          <w:b/>
          <w:sz w:val="22"/>
        </w:rPr>
        <w:t>MIEMBROS DEL WEBINAR</w:t>
      </w:r>
    </w:p>
    <w:p>
      <w:pPr>
        <w:widowControl/>
        <w:spacing w:line="276" w:lineRule="auto" w:before="180" w:after="180"/>
        <w:jc w:val="both"/>
      </w:pPr>
      <w:r>
        <w:rPr>
          <w:rFonts w:ascii="Times New Roman" w:hAnsi="Times New Roman"/>
          <w:sz w:val="22"/>
        </w:rPr>
        <w:t>Existen operaciones para asignar o retirar miembros con nivel manager o viewer. Se almacenan en emotion_members. Las rutas actuales de consulta y carga no filtran por esa tabla: los permisos globales controlan el módulo web y las consultas emocionales externas son públicas. Por ello, registrar una membresía todavía no produce aislamiento efectivo por webinar.</w:t>
      </w:r>
    </w:p>
    <w:p>
      <w:pPr>
        <w:keepNext/>
        <w:spacing w:before="180" w:after="180"/>
        <w:jc w:val="both"/>
      </w:pPr>
      <w:r>
        <w:rPr>
          <w:rFonts w:ascii="Times New Roman" w:hAnsi="Times New Roman"/>
          <w:b/>
          <w:sz w:val="22"/>
        </w:rPr>
        <w:t>10 FORMATOS Y VALIDACIÓN EMOCIONAL</w:t>
      </w:r>
    </w:p>
    <w:p>
      <w:pPr>
        <w:keepNext/>
        <w:spacing w:before="180" w:after="180"/>
        <w:jc w:val="both"/>
      </w:pPr>
      <w:r>
        <w:rPr>
          <w:rFonts w:ascii="Times New Roman" w:hAnsi="Times New Roman"/>
          <w:b/>
          <w:sz w:val="22"/>
        </w:rPr>
        <w:t>PROMEDIO CATEGÓRICO DE TRES COLUMNAS</w:t>
      </w:r>
    </w:p>
    <w:p>
      <w:pPr>
        <w:keepNext/>
        <w:spacing w:before="180" w:after="120"/>
        <w:jc w:val="center"/>
      </w:pPr>
      <w:r>
        <w:rPr>
          <w:rFonts w:ascii="Times New Roman" w:hAnsi="Times New Roman"/>
          <w:b/>
          <w:sz w:val="22"/>
        </w:rPr>
        <w:t>Tabla 10. Formato emocional promedio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376"/>
        <w:gridCol w:w="5984"/>
      </w:tblGrid>
      <w:tr>
        <w:trPr>
          <w:cantSplit/>
          <w:tblHeader/>
        </w:trPr>
        <w:tc>
          <w:tcPr>
            <w:tcW w:type="dxa" w:w="337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w:t>
            </w:r>
          </w:p>
        </w:tc>
        <w:tc>
          <w:tcPr>
            <w:tcW w:type="dxa" w:w="598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Regla</w:t>
            </w:r>
          </w:p>
        </w:tc>
      </w:tr>
      <w:tr>
        <w:trPr>
          <w:cantSplit/>
        </w:trPr>
        <w:tc>
          <w:tcPr>
            <w:tcW w:type="dxa" w:w="33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id_meeting</w:t>
            </w:r>
          </w:p>
        </w:tc>
        <w:tc>
          <w:tcPr>
            <w:tcW w:type="dxa" w:w="598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Entero positivo; no se repite dentro del libro de promedio.</w:t>
            </w:r>
          </w:p>
        </w:tc>
      </w:tr>
      <w:tr>
        <w:trPr>
          <w:cantSplit/>
        </w:trPr>
        <w:tc>
          <w:tcPr>
            <w:tcW w:type="dxa" w:w="33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nivel_atencion_prom</w:t>
            </w:r>
          </w:p>
        </w:tc>
        <w:tc>
          <w:tcPr>
            <w:tcW w:type="dxa" w:w="598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w:t>
            </w:r>
          </w:p>
        </w:tc>
      </w:tr>
      <w:tr>
        <w:trPr>
          <w:cantSplit/>
        </w:trPr>
        <w:tc>
          <w:tcPr>
            <w:tcW w:type="dxa" w:w="33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emocion_ganadora_prom</w:t>
            </w:r>
          </w:p>
        </w:tc>
        <w:tc>
          <w:tcPr>
            <w:tcW w:type="dxa" w:w="598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w:t>
            </w:r>
          </w:p>
        </w:tc>
      </w:tr>
    </w:tbl>
    <w:p>
      <w:pPr>
        <w:widowControl/>
        <w:spacing w:line="276" w:lineRule="auto" w:before="180" w:after="0"/>
        <w:jc w:val="both"/>
      </w:pPr>
      <w:r>
        <w:rPr>
          <w:rFonts w:ascii="Times New Roman" w:hAnsi="Times New Roman"/>
          <w:sz w:val="22"/>
        </w:rPr>
      </w:r>
    </w:p>
    <w:p>
      <w:pPr>
        <w:widowControl/>
        <w:spacing w:line="276" w:lineRule="auto" w:before="180" w:after="180"/>
        <w:jc w:val="both"/>
      </w:pPr>
      <w:r>
        <w:rPr>
          <w:rFonts w:ascii="Times New Roman" w:hAnsi="Times New Roman"/>
          <w:sz w:val="22"/>
        </w:rP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keepNext/>
        <w:spacing w:before="180" w:after="180"/>
        <w:jc w:val="both"/>
      </w:pPr>
      <w:r>
        <w:rPr>
          <w:rFonts w:ascii="Times New Roman" w:hAnsi="Times New Roman"/>
          <w:b/>
          <w:sz w:val="22"/>
        </w:rPr>
        <w:t>DETALLE DE DIECISIETE COLUMNAS</w:t>
      </w:r>
    </w:p>
    <w:p>
      <w:pPr>
        <w:keepNext/>
        <w:spacing w:before="180" w:after="120"/>
        <w:jc w:val="center"/>
      </w:pPr>
      <w:r>
        <w:rPr>
          <w:rFonts w:ascii="Times New Roman" w:hAnsi="Times New Roman"/>
          <w:b/>
          <w:sz w:val="22"/>
        </w:rPr>
        <w:t>Tabla 11. Formato emocional detallado</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724"/>
        <w:gridCol w:w="5636"/>
      </w:tblGrid>
      <w:tr>
        <w:trPr>
          <w:cantSplit/>
          <w:tblHeader/>
        </w:trPr>
        <w:tc>
          <w:tcPr>
            <w:tcW w:type="dxa" w:w="3724"/>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Campos</w:t>
            </w:r>
          </w:p>
        </w:tc>
        <w:tc>
          <w:tcPr>
            <w:tcW w:type="dxa" w:w="563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Validación y significado</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id_persona, id_meeting</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Identificadores enteros positivos.</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Nombre o referencia de origen, texto requerido de hasta 255 caracteres.</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nivel_atencion</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ATENTO, NO ATENTO o SIN DETECCION; se normaliza a mayúsculas.</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score_atencion</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Valor numérico entre 0 y 1.</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prob_angry, prob_disgust, prob_fear, prob_happy, prob_neutral, prob_sad, prob_surprise</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Siete probabilidades numéricas, cada una entre 0 y 1.</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emocion_ganadora</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angry, disgust, fear, happy, neutral, sad, surprise o SIN DETECCION.</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fecha, tiempo</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Fecha Y-m-d y hora H:i:s; admite conversión desde valores de Excel.</w:t>
            </w:r>
          </w:p>
        </w:tc>
      </w:tr>
      <w:tr>
        <w:trPr>
          <w:cantSplit/>
        </w:trPr>
        <w:tc>
          <w:tcPr>
            <w:tcW w:type="dxa" w:w="3724"/>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validez</w:t>
            </w:r>
          </w:p>
        </w:tc>
        <w:tc>
          <w:tcPr>
            <w:tcW w:type="dxa" w:w="563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Booleano; normaliza VALIDO o 1 y NO VALIDO o 0.</w:t>
            </w:r>
          </w:p>
        </w:tc>
      </w:tr>
      <w:tr>
        <w:trPr>
          <w:cantSplit/>
        </w:trPr>
        <w:tc>
          <w:tcPr>
            <w:tcW w:type="dxa" w:w="3724"/>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estatus_calidad_DAMA</w:t>
            </w:r>
          </w:p>
        </w:tc>
        <w:tc>
          <w:tcPr>
            <w:tcW w:type="dxa" w:w="563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Texto requerido de hasta 100 caracteres; conserva el indicador recibido.</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NORMALIZACIÓN Y DUPLICADOS</w:t>
      </w:r>
    </w:p>
    <w:p>
      <w:pPr>
        <w:widowControl/>
        <w:spacing w:line="276" w:lineRule="auto" w:before="180" w:after="180"/>
        <w:jc w:val="both"/>
      </w:pPr>
      <w:r>
        <w:rPr>
          <w:rFonts w:ascii="Times New Roman" w:hAnsi="Times New Roman"/>
          <w:sz w:val="22"/>
        </w:rP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pPr>
        <w:widowControl/>
        <w:spacing w:line="276" w:lineRule="auto" w:before="180" w:after="180"/>
        <w:jc w:val="both"/>
      </w:pPr>
      <w:r>
        <w:rPr>
          <w:rFonts w:ascii="Times New Roman" w:hAnsi="Times New Roman"/>
          <w:sz w:val="22"/>
        </w:rP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pPr>
        <w:widowControl/>
        <w:spacing w:line="276" w:lineRule="auto" w:before="180" w:after="180"/>
        <w:jc w:val="both"/>
      </w:pPr>
      <w:r>
        <w:rPr>
          <w:rFonts w:ascii="Times New Roman" w:hAnsi="Times New Roman"/>
          <w:sz w:val="22"/>
        </w:rPr>
        <w:t>La respuesta muestra como archivo primero source_file del promedio y, en su ausencia, el del detalle. Si ambos proceden de libros distintos, esa propiedad no expone simultáneamente los dos orígenes.</w:t>
      </w:r>
    </w:p>
    <w:p>
      <w:pPr>
        <w:keepNext/>
        <w:spacing w:before="180" w:after="180"/>
        <w:jc w:val="both"/>
      </w:pPr>
      <w:r>
        <w:rPr>
          <w:rFonts w:ascii="Times New Roman" w:hAnsi="Times New Roman"/>
          <w:b/>
          <w:sz w:val="22"/>
        </w:rPr>
        <w:t>11 CATÁLOGO DE LA API PÚBLICA</w:t>
      </w:r>
    </w:p>
    <w:p>
      <w:pPr>
        <w:widowControl/>
        <w:spacing w:line="276" w:lineRule="auto" w:before="180" w:after="180"/>
        <w:jc w:val="both"/>
      </w:pPr>
      <w:r>
        <w:rPr>
          <w:rFonts w:ascii="Times New Roman" w:hAnsi="Times New Roman"/>
          <w:sz w:val="22"/>
        </w:rPr>
        <w:t>routes/api.php contiene ocho rutas, todas GET y de solo lectura. Se montan bajo /api sin autenticación, permisos, CSRF ni limitación de solicitudes configurada en ese grupo. CORS permite cualquier origen, método y encabezado, y no habilita credenciales. La carga pública POST /api/emociones/datos fue eliminada.</w:t>
      </w:r>
    </w:p>
    <w:p>
      <w:pPr>
        <w:keepNext/>
        <w:spacing w:before="180" w:after="120"/>
        <w:jc w:val="center"/>
      </w:pPr>
      <w:r>
        <w:rPr>
          <w:rFonts w:ascii="Times New Roman" w:hAnsi="Times New Roman"/>
          <w:b/>
          <w:sz w:val="22"/>
        </w:rPr>
        <w:t>Tabla 12. Catálogo de la API pública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227"/>
        <w:gridCol w:w="5133"/>
      </w:tblGrid>
      <w:tr>
        <w:trPr>
          <w:cantSplit/>
          <w:tblHeader/>
        </w:trPr>
        <w:tc>
          <w:tcPr>
            <w:tcW w:type="dxa" w:w="422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Método y ruta relativa a api</w:t>
            </w:r>
          </w:p>
        </w:tc>
        <w:tc>
          <w:tcPr>
            <w:tcW w:type="dxa" w:w="513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Función y respuesta</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Lista escenarios y relaciones de propietario, usuarios y contenidos. Sin usuario autenticado no aplica el filtro de pertenencia del panel.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Detalle del escenario con propietario, miembros y autores de contenidos.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/escenarios/{id}/resultados-solares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Historial solar completo en archivos, resumen versiones y versión_actual.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/escenarios/{id}/resultados</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Alias del historial de resultados solares para clientes nuevos.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/escenarios/{id}/versiones-datos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Manifiesto solar. Requiere tipo=solar y admite version_actual y sha256_actual.</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/escenarios/{id}/solar</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Conjunto solar de versión exacta o última versión; entrega todas las series.</w:t>
            </w:r>
          </w:p>
        </w:tc>
      </w:tr>
      <w:tr>
        <w:trPr>
          <w:cantSplit/>
        </w:trPr>
        <w:tc>
          <w:tcPr>
            <w:tcW w:type="dxa" w:w="422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/emociones</w:t>
            </w:r>
          </w:p>
        </w:tc>
        <w:tc>
          <w:tcPr>
            <w:tcW w:type="dxa" w:w="513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Webinars con datos locales, metadatos correlacionados, promedio, detalle, totales y archivos de origen.</w:t>
            </w:r>
          </w:p>
        </w:tc>
      </w:tr>
      <w:tr>
        <w:trPr>
          <w:cantSplit/>
        </w:trPr>
        <w:tc>
          <w:tcPr>
            <w:tcW w:type="dxa" w:w="422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/emociones/{meeting}</w:t>
            </w:r>
          </w:p>
        </w:tc>
        <w:tc>
          <w:tcPr>
            <w:tcW w:type="dxa" w:w="513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Exportación completa de una reunión, sin paginación y sin identificadores internos de filas.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EJEMPLOS DE USO</w:t>
      </w:r>
    </w:p>
    <w:p>
      <w:pPr>
        <w:widowControl/>
        <w:spacing w:line="240" w:lineRule="auto" w:before="180" w:after="180"/>
        <w:jc w:val="both"/>
      </w:pPr>
      <w:r>
        <w:rPr>
          <w:rFonts w:ascii="Consolas" w:hAnsi="Consolas"/>
          <w:sz w:val="18"/>
        </w:rPr>
        <w:t>GET /api/escenarios/12/resultados</w:t>
        <w:br/>
        <w:t>GET /api/escenarios/12/versiones-datos?tipo=solar</w:t>
        <w:br/>
        <w:t>GET /api/escenarios/12/solar?version=1.0</w:t>
        <w:br/>
        <w:t>GET /api/emociones/10</w:t>
      </w:r>
    </w:p>
    <w:p>
      <w:pPr>
        <w:widowControl/>
        <w:spacing w:line="276" w:lineRule="auto" w:before="180" w:after="180"/>
        <w:jc w:val="both"/>
      </w:pPr>
      <w:r>
        <w:rPr>
          <w:rFonts w:ascii="Times New Roman" w:hAnsi="Times New Roman"/>
          <w:sz w:val="22"/>
        </w:rP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keepNext/>
        <w:spacing w:before="180" w:after="180"/>
        <w:jc w:val="both"/>
      </w:pPr>
      <w:r>
        <w:rPr>
          <w:rFonts w:ascii="Times New Roman" w:hAnsi="Times New Roman"/>
          <w:b/>
          <w:sz w:val="22"/>
        </w:rPr>
        <w:t>EXPOSICIÓN EFECTIVA DE DATOS</w:t>
      </w:r>
    </w:p>
    <w:p>
      <w:pPr>
        <w:widowControl/>
        <w:spacing w:line="276" w:lineRule="auto" w:before="180" w:after="180"/>
        <w:jc w:val="both"/>
      </w:pPr>
      <w:r>
        <w:rPr>
          <w:rFonts w:ascii="Times New Roman" w:hAnsi="Times New Roman"/>
          <w:sz w:val="22"/>
        </w:rPr>
        <w:t>Las respuestas públicas de escenarios incluyen correo del propietario y de miembros porque el controlador carga name y email en las relaciones. La API emocional excluye id, id_persona, id_meeting, record_key y marcas de tiempo de cada fila, pero devuelve los conjuntos completos, categorías, probabilidades, archivos de origen y totales. Una cuenta inhabilitada no afecta el acceso a consultas públicas.</w:t>
      </w:r>
    </w:p>
    <w:p>
      <w:pPr>
        <w:widowControl/>
        <w:spacing w:line="276" w:lineRule="auto" w:before="180" w:after="180"/>
        <w:jc w:val="both"/>
      </w:pPr>
      <w:r>
        <w:rPr>
          <w:rFonts w:ascii="Times New Roman" w:hAnsi="Times New Roman"/>
          <w:sz w:val="22"/>
        </w:rP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keepNext/>
        <w:spacing w:before="180" w:after="180"/>
        <w:jc w:val="both"/>
      </w:pPr>
      <w:r>
        <w:rPr>
          <w:rFonts w:ascii="Times New Roman" w:hAnsi="Times New Roman"/>
          <w:b/>
          <w:sz w:val="22"/>
        </w:rPr>
        <w:t>12 OPERACIONES INTERNAS DEL PANEL</w:t>
      </w:r>
    </w:p>
    <w:p>
      <w:pPr>
        <w:widowControl/>
        <w:spacing w:line="276" w:lineRule="auto" w:before="180" w:after="180"/>
        <w:jc w:val="both"/>
      </w:pPr>
      <w:r>
        <w:rPr>
          <w:rFonts w:ascii="Times New Roman" w:hAnsi="Times New Roman"/>
          <w:sz w:val="22"/>
        </w:rP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p>
      <w:pPr>
        <w:keepNext/>
        <w:spacing w:before="180" w:after="120"/>
        <w:jc w:val="center"/>
      </w:pPr>
      <w:r>
        <w:rPr>
          <w:rFonts w:ascii="Times New Roman" w:hAnsi="Times New Roman"/>
          <w:b/>
          <w:sz w:val="22"/>
        </w:rPr>
        <w:t>Tabla 13. Operaciones internas del panel</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02"/>
        <w:gridCol w:w="4185"/>
        <w:gridCol w:w="3473"/>
      </w:tblGrid>
      <w:tr>
        <w:trPr>
          <w:cantSplit/>
          <w:tblHeader/>
        </w:trPr>
        <w:tc>
          <w:tcPr>
            <w:tcW w:type="dxa" w:w="170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Operación</w:t>
            </w:r>
          </w:p>
        </w:tc>
        <w:tc>
          <w:tcPr>
            <w:tcW w:type="dxa" w:w="4185"/>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Rutas principales</w:t>
            </w:r>
          </w:p>
        </w:tc>
        <w:tc>
          <w:tcPr>
            <w:tcW w:type="dxa" w:w="347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Control adicional</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Sesión</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/log-in; GET /session-user; POST /log-out</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Credenciales al entrar; sesión activa para consulta y salida.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Listado y detalle solar</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/escenarios-data; GET /escenarios-data/{id}; GET .../{id}/resultados</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escenarios.leer; pertenencia en detalle y resultados.</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Crear escenario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/escenarios-store</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escenarios.crear; administrador excluido por controlador.</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Editar escenario</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PUT /escenarios/{id}</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escenarios.actualizar; owner o supervisor; admin solo nombre.</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Cargar documentos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/escenarios/{id}/contenidos</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Hasta diez Word o Excel; escenarios.versionar y acceso owner.</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Asignar miembro</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POST /escenarios/{id}/members</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escenarios.invitar y propietario efectivo.</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Retirar miembro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DELETE /escenarios/{id}/members/{user}</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escenarios.invitar y propietario efectivo.</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Descargar archivos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/escenarios/{id}/download; GET .../{id}/contenidos/{contenido}/download</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archivos.leer y acceso al escenario.</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Eliminar escenario</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DELETE /escenarios/{id}</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escenarios.eliminar y condición owner o admin.</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Consultar emociones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/emociones-data; GET /emociones-data/{meeting}</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emociones.leer.</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Cargar emociones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POST /emociones-data</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emociones.cargar; operación interna sin equivalente público de escritura.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Miembros emocionales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POST /emociones/{meeting}/miembros; DELETE .../miembros/{user}</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emociones.invitar; no aislamiento adicional por membresía.</w:t>
            </w:r>
          </w:p>
        </w:tc>
      </w:tr>
      <w:tr>
        <w:trPr>
          <w:cantSplit/>
        </w:trPr>
        <w:tc>
          <w:tcPr>
            <w:tcW w:type="dxa" w:w="170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Usuarios</w:t>
            </w:r>
          </w:p>
        </w:tc>
        <w:tc>
          <w:tcPr>
            <w:tcW w:type="dxa" w:w="4185"/>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GET /users-data; POST /users-register; PUT /users-update/{user}</w:t>
            </w:r>
          </w:p>
        </w:tc>
        <w:tc>
          <w:tcPr>
            <w:tcW w:type="dxa" w:w="347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 admin; asignación de módulos y estado de cuenta.</w:t>
            </w:r>
          </w:p>
        </w:tc>
      </w:tr>
      <w:tr>
        <w:trPr>
          <w:cantSplit/>
        </w:trPr>
        <w:tc>
          <w:tcPr>
            <w:tcW w:type="dxa" w:w="170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Roles</w:t>
            </w:r>
          </w:p>
        </w:tc>
        <w:tc>
          <w:tcPr>
            <w:tcW w:type="dxa" w:w="4185"/>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GET /roles-data; GET /roles-list; GET /roles/{rol}</w:t>
            </w:r>
          </w:p>
        </w:tc>
        <w:tc>
          <w:tcPr>
            <w:tcW w:type="dxa" w:w="347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Rol admin; consulta del catálogo.</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CONTROLADORES FRENTE A FUNCIONES PUBLICADAS</w:t>
      </w:r>
    </w:p>
    <w:p>
      <w:pPr>
        <w:widowControl/>
        <w:spacing w:line="276" w:lineRule="auto" w:before="180" w:after="180"/>
        <w:jc w:val="both"/>
      </w:pPr>
      <w:r>
        <w:rPr>
          <w:rFonts w:ascii="Times New Roman" w:hAnsi="Times New Roman"/>
          <w:sz w:val="22"/>
        </w:rP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pPr>
        <w:widowControl/>
        <w:spacing w:line="276" w:lineRule="auto" w:before="180" w:after="180"/>
        <w:jc w:val="both"/>
      </w:pPr>
      <w:r>
        <w:rPr>
          <w:rFonts w:ascii="Times New Roman" w:hAnsi="Times New Roman"/>
          <w:sz w:val="22"/>
        </w:rPr>
        <w:t>La ruta de respaldo de React devuelve la vista app para URLs web autenticadas y excluye /api. Permite recargar páginas internas sin convertir rutas API desconocidas en respuestas HTML del panel. /up es la ruta de salud configurada por Laravel.</w:t>
      </w:r>
    </w:p>
    <w:p>
      <w:pPr>
        <w:keepNext/>
        <w:spacing w:before="180" w:after="180"/>
        <w:jc w:val="both"/>
      </w:pPr>
      <w:r>
        <w:rPr>
          <w:rFonts w:ascii="Times New Roman" w:hAnsi="Times New Roman"/>
          <w:b/>
          <w:sz w:val="22"/>
        </w:rPr>
        <w:t>13 INTERFAZ Y COMPORTAMIENTO DEL PANEL</w:t>
      </w:r>
    </w:p>
    <w:p>
      <w:pPr>
        <w:keepNext/>
        <w:spacing w:before="180" w:after="180"/>
        <w:jc w:val="both"/>
      </w:pPr>
      <w:r>
        <w:rPr>
          <w:rFonts w:ascii="Times New Roman" w:hAnsi="Times New Roman"/>
          <w:b/>
          <w:sz w:val="22"/>
        </w:rPr>
        <w:t>PÁGINAS Y COMPONENTES</w:t>
      </w:r>
    </w:p>
    <w:p>
      <w:pPr>
        <w:keepNext/>
        <w:spacing w:before="180" w:after="120"/>
        <w:jc w:val="center"/>
      </w:pPr>
      <w:r>
        <w:rPr>
          <w:rFonts w:ascii="Times New Roman" w:hAnsi="Times New Roman"/>
          <w:b/>
          <w:sz w:val="22"/>
        </w:rPr>
        <w:t>Tabla 14. Pantallas y funciones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162"/>
        <w:gridCol w:w="7198"/>
      </w:tblGrid>
      <w:tr>
        <w:trPr>
          <w:cantSplit/>
          <w:tblHeader/>
        </w:trPr>
        <w:tc>
          <w:tcPr>
            <w:tcW w:type="dxa" w:w="2162"/>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Pantalla</w:t>
            </w:r>
          </w:p>
        </w:tc>
        <w:tc>
          <w:tcPr>
            <w:tcW w:type="dxa" w:w="7198"/>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Función implementada</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Inicio de sesión</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Validación de acceso, recordatorio de sesión y mensajes diferenciados para credenciales o cuenta inhabilitada.</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Dashboard</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 accesibles, contenidos disponibles, accesos rápidos y entrada a módulos habilitados.</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Biblioteca de Word y Excel, carga múltiple, búsqueda, permisos, versiones y acceso al detalle.</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Detalle del escenario</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Metadatos, contenidos, versiones, descargas y miembros sujetos a autorización.</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Resultados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Selección de escenario y publicación solar actual o histórica; gráfica, filtros y tabla.</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Listado de webinars y acceso a los resultados asociados; carga según permisos.</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Detalle emocional</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Resumen categórico y tabla por persona, con paginación de servidor.</w:t>
            </w:r>
          </w:p>
        </w:tc>
      </w:tr>
      <w:tr>
        <w:trPr>
          <w:cantSplit/>
        </w:trPr>
        <w:tc>
          <w:tcPr>
            <w:tcW w:type="dxa" w:w="2162"/>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Usuarios</w:t>
            </w:r>
          </w:p>
        </w:tc>
        <w:tc>
          <w:tcPr>
            <w:tcW w:type="dxa" w:w="7198"/>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 y edición de cuentas, rol global, módulos habilitados y estado activo.</w:t>
            </w:r>
          </w:p>
        </w:tc>
      </w:tr>
      <w:tr>
        <w:trPr>
          <w:cantSplit/>
        </w:trPr>
        <w:tc>
          <w:tcPr>
            <w:tcW w:type="dxa" w:w="2162"/>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Roles</w:t>
            </w:r>
          </w:p>
        </w:tc>
        <w:tc>
          <w:tcPr>
            <w:tcW w:type="dxa" w:w="7198"/>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Consulta administrativa de roles y permisos disponibles.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SESIÓN Y SOLICITUDES</w:t>
      </w:r>
    </w:p>
    <w:p>
      <w:pPr>
        <w:widowControl/>
        <w:spacing w:line="276" w:lineRule="auto" w:before="180" w:after="180"/>
        <w:jc w:val="both"/>
      </w:pPr>
      <w:r>
        <w:rPr>
          <w:rFonts w:ascii="Times New Roman" w:hAnsi="Times New Roman"/>
          <w:sz w:val="22"/>
        </w:rP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pPr>
        <w:widowControl/>
        <w:spacing w:line="276" w:lineRule="auto" w:before="180" w:after="180"/>
        <w:jc w:val="both"/>
      </w:pPr>
      <w:r>
        <w:rPr>
          <w:rFonts w:ascii="Times New Roman" w:hAnsi="Times New Roman"/>
          <w:sz w:val="22"/>
        </w:rP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keepNext/>
        <w:spacing w:before="180" w:after="180"/>
        <w:jc w:val="both"/>
      </w:pPr>
      <w:r>
        <w:rPr>
          <w:rFonts w:ascii="Times New Roman" w:hAnsi="Times New Roman"/>
          <w:b/>
          <w:sz w:val="22"/>
        </w:rPr>
        <w:t>PAGINACIÓN Y REPRESENTACIÓN</w:t>
      </w:r>
    </w:p>
    <w:p>
      <w:pPr>
        <w:widowControl/>
        <w:spacing w:line="276" w:lineRule="auto" w:before="180" w:after="180"/>
        <w:jc w:val="both"/>
      </w:pPr>
      <w:r>
        <w:rPr>
          <w:rFonts w:ascii="Times New Roman" w:hAnsi="Times New Roman"/>
          <w:sz w:val="22"/>
        </w:rP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pPr>
        <w:widowControl/>
        <w:spacing w:line="276" w:lineRule="auto" w:before="180" w:after="180"/>
        <w:jc w:val="both"/>
      </w:pPr>
      <w:r>
        <w:rPr>
          <w:rFonts w:ascii="Times New Roman" w:hAnsi="Times New Roman"/>
          <w:sz w:val="22"/>
        </w:rP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keepNext/>
        <w:spacing w:before="180" w:after="180"/>
        <w:jc w:val="both"/>
      </w:pPr>
      <w:r>
        <w:rPr>
          <w:rFonts w:ascii="Times New Roman" w:hAnsi="Times New Roman"/>
          <w:b/>
          <w:sz w:val="22"/>
        </w:rPr>
        <w:t>PRECISIÓN DE LOS INDICADORES</w:t>
      </w:r>
    </w:p>
    <w:p>
      <w:pPr>
        <w:widowControl/>
        <w:spacing w:line="276" w:lineRule="auto" w:before="180" w:after="180"/>
        <w:jc w:val="both"/>
      </w:pPr>
      <w:r>
        <w:rPr>
          <w:rFonts w:ascii="Times New Roman" w:hAnsi="Times New Roman"/>
          <w:sz w:val="22"/>
        </w:rP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pPr>
        <w:widowControl/>
        <w:spacing w:line="276" w:lineRule="auto" w:before="180" w:after="180"/>
        <w:jc w:val="both"/>
      </w:pPr>
      <w:r>
        <w:rPr>
          <w:rFonts w:ascii="Times New Roman" w:hAnsi="Times New Roman"/>
          <w:sz w:val="22"/>
        </w:rPr>
        <w:t>La búsqueda global de la barra superior y el indicador de tres notificaciones se presentan visualmente, pero no tienen una operación de consulta asociada. La biblioteca sí acepta Word y Excel; no admite PDF, ZIP, paquetes Unity ni otros tipos de archivo.</w:t>
      </w:r>
    </w:p>
    <w:p>
      <w:pPr>
        <w:keepNext/>
        <w:spacing w:before="180" w:after="180"/>
        <w:jc w:val="both"/>
      </w:pPr>
      <w:r>
        <w:rPr>
          <w:rFonts w:ascii="Times New Roman" w:hAnsi="Times New Roman"/>
          <w:b/>
          <w:sz w:val="22"/>
        </w:rPr>
        <w:t>14 DESPLIEGUE Y OPERACIÓN TÉCNICA</w:t>
      </w:r>
    </w:p>
    <w:p>
      <w:pPr>
        <w:keepNext/>
        <w:spacing w:before="180" w:after="180"/>
        <w:jc w:val="both"/>
      </w:pPr>
      <w:r>
        <w:rPr>
          <w:rFonts w:ascii="Times New Roman" w:hAnsi="Times New Roman"/>
          <w:b/>
          <w:sz w:val="22"/>
        </w:rPr>
        <w:t>REQUISITOS Y ARTEFACTOS</w:t>
      </w:r>
    </w:p>
    <w:p>
      <w:pPr>
        <w:widowControl/>
        <w:spacing w:line="276" w:lineRule="auto" w:before="180" w:after="180"/>
        <w:jc w:val="both"/>
      </w:pPr>
      <w:r>
        <w:rPr>
          <w:rFonts w:ascii="Times New Roman" w:hAnsi="Times New Roman"/>
          <w:sz w:val="22"/>
        </w:rP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pPr>
        <w:widowControl/>
        <w:spacing w:line="276" w:lineRule="auto" w:before="180" w:after="180"/>
        <w:jc w:val="both"/>
      </w:pPr>
      <w:r>
        <w:rPr>
          <w:rFonts w:ascii="Times New Roman" w:hAnsi="Times New Roman"/>
          <w:sz w:val="22"/>
        </w:rP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keepNext/>
        <w:spacing w:before="180" w:after="180"/>
        <w:jc w:val="both"/>
      </w:pPr>
      <w:r>
        <w:rPr>
          <w:rFonts w:ascii="Times New Roman" w:hAnsi="Times New Roman"/>
          <w:b/>
          <w:sz w:val="22"/>
        </w:rPr>
        <w:t>SECUENCIA DOCUMENTADA DE ACTUALIZACIÓN</w:t>
      </w:r>
    </w:p>
    <w:p>
      <w:pPr>
        <w:widowControl/>
        <w:spacing w:line="240" w:lineRule="auto" w:before="180" w:after="180"/>
        <w:jc w:val="both"/>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pPr>
        <w:widowControl/>
        <w:spacing w:line="276" w:lineRule="auto" w:before="180" w:after="180"/>
        <w:jc w:val="both"/>
      </w:pPr>
      <w:r>
        <w:rPr>
          <w:rFonts w:ascii="Times New Roman" w:hAnsi="Times New Roman"/>
          <w:sz w:val="22"/>
        </w:rP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keepNext/>
        <w:spacing w:before="180" w:after="180"/>
        <w:jc w:val="both"/>
      </w:pPr>
      <w:r>
        <w:rPr>
          <w:rFonts w:ascii="Times New Roman" w:hAnsi="Times New Roman"/>
          <w:b/>
          <w:sz w:val="22"/>
        </w:rPr>
        <w:t>ALMACENAMIENTO Y RECUPERACIÓN</w:t>
      </w:r>
    </w:p>
    <w:p>
      <w:pPr>
        <w:widowControl/>
        <w:spacing w:line="276" w:lineRule="auto" w:before="180" w:after="180"/>
        <w:jc w:val="both"/>
      </w:pPr>
      <w:r>
        <w:rPr>
          <w:rFonts w:ascii="Times New Roman" w:hAnsi="Times New Roman"/>
          <w:sz w:val="22"/>
        </w:rP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pPr>
        <w:widowControl/>
        <w:spacing w:line="276" w:lineRule="auto" w:before="180" w:after="180"/>
        <w:jc w:val="both"/>
      </w:pPr>
      <w:r>
        <w:rPr>
          <w:rFonts w:ascii="Times New Roman" w:hAnsi="Times New Roman"/>
          <w:sz w:val="22"/>
        </w:rP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keepNext/>
        <w:spacing w:before="180" w:after="180"/>
        <w:jc w:val="both"/>
      </w:pPr>
      <w:r>
        <w:rPr>
          <w:rFonts w:ascii="Times New Roman" w:hAnsi="Times New Roman"/>
          <w:b/>
          <w:sz w:val="22"/>
        </w:rPr>
        <w:t>DOCKER E INFRAESTRUCTURA PENDIENTE DE VALIDAR</w:t>
      </w:r>
    </w:p>
    <w:p>
      <w:pPr>
        <w:widowControl/>
        <w:spacing w:line="276" w:lineRule="auto" w:before="180" w:after="180"/>
        <w:jc w:val="both"/>
      </w:pPr>
      <w:r>
        <w:rPr>
          <w:rFonts w:ascii="Times New Roman" w:hAnsi="Times New Roman"/>
          <w:sz w:val="22"/>
        </w:rP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pPr>
        <w:widowControl/>
        <w:spacing w:line="276" w:lineRule="auto" w:before="180" w:after="180"/>
        <w:jc w:val="both"/>
      </w:pPr>
      <w:r>
        <w:rPr>
          <w:rFonts w:ascii="Times New Roman" w:hAnsi="Times New Roman"/>
          <w:sz w:val="22"/>
        </w:rP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keepNext/>
        <w:spacing w:before="180" w:after="180"/>
        <w:jc w:val="both"/>
      </w:pPr>
      <w:r>
        <w:rPr>
          <w:rFonts w:ascii="Times New Roman" w:hAnsi="Times New Roman"/>
          <w:b/>
          <w:sz w:val="22"/>
        </w:rPr>
        <w:t>15 VERIFICACIÓN TÉCNICA AL CORTE</w:t>
      </w:r>
    </w:p>
    <w:p>
      <w:pPr>
        <w:widowControl/>
        <w:spacing w:line="276" w:lineRule="auto" w:before="180" w:after="180"/>
        <w:jc w:val="both"/>
      </w:pPr>
      <w:r>
        <w:rPr>
          <w:rFonts w:ascii="Times New Roman" w:hAnsi="Times New Roman"/>
          <w:sz w:val="22"/>
        </w:rPr>
        <w:t>La revisión ejecutó pruebas locales con PHP 8.2.12 y PHPUnit 11.5.42, usando SQLite en memoria. También ejecutó las pruebas JavaScript y una compilación Vite de producción. Estos resultados describen HEAD 8036886 y no sustituyen una aceptación del servicio desplegado.</w:t>
      </w:r>
    </w:p>
    <w:p>
      <w:pPr>
        <w:keepNext/>
        <w:spacing w:before="180" w:after="120"/>
        <w:jc w:val="center"/>
      </w:pPr>
      <w:r>
        <w:rPr>
          <w:rFonts w:ascii="Times New Roman" w:hAnsi="Times New Roman"/>
          <w:b/>
          <w:sz w:val="22"/>
        </w:rPr>
        <w:t>Tabla 15. Resultados de verificación técnica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957"/>
        <w:gridCol w:w="6403"/>
      </w:tblGrid>
      <w:tr>
        <w:trPr>
          <w:cantSplit/>
          <w:tblHeader/>
        </w:trPr>
        <w:tc>
          <w:tcPr>
            <w:tcW w:type="dxa" w:w="295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Ejecución</w:t>
            </w:r>
          </w:p>
        </w:tc>
        <w:tc>
          <w:tcPr>
            <w:tcW w:type="dxa" w:w="640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Resultado observado</w:t>
            </w:r>
          </w:p>
        </w:tc>
      </w:tr>
      <w:tr>
        <w:trPr>
          <w:cantSplit/>
        </w:trPr>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Suite PHP completa</w:t>
            </w:r>
          </w:p>
        </w:tc>
        <w:tc>
          <w:tcPr>
            <w:tcW w:type="dxa" w:w="64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39 pruebas y 201 aserciones; 14 fallos, 2 errores y 2 omitidas. La suite completa no queda aprobada.</w:t>
            </w:r>
          </w:p>
        </w:tc>
      </w:tr>
      <w:tr>
        <w:trPr>
          <w:cantSplit/>
        </w:trPr>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Pruebas enfocadas en contratos vigentes</w:t>
            </w:r>
          </w:p>
        </w:tc>
        <w:tc>
          <w:tcPr>
            <w:tcW w:type="dxa" w:w="64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12 pruebas y 134 aserciones; sin fallos ni errores, con 1 omitida por falta del libro original opcional.</w:t>
            </w:r>
          </w:p>
        </w:tc>
      </w:tr>
      <w:tr>
        <w:trPr>
          <w:cantSplit/>
        </w:trPr>
        <w:tc>
          <w:tcPr>
            <w:tcW w:type="dxa" w:w="295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JavaScript solar y paginación</w:t>
            </w:r>
          </w:p>
        </w:tc>
        <w:tc>
          <w:tcPr>
            <w:tcW w:type="dxa" w:w="64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6 pruebas aprobadas; sin fallos ni omisiones.</w:t>
            </w:r>
          </w:p>
        </w:tc>
      </w:tr>
      <w:tr>
        <w:trPr>
          <w:cantSplit/>
        </w:trPr>
        <w:tc>
          <w:tcPr>
            <w:tcW w:type="dxa" w:w="295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Compilación de producción</w:t>
            </w:r>
          </w:p>
        </w:tc>
        <w:tc>
          <w:tcPr>
            <w:tcW w:type="dxa" w:w="64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Vite 7.3.6 aprobó 1.660 módulos; CSS 68,04 kB y JavaScript 359,56 kB antes de gzip.</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QUÉ CONFIRMA LA SELECCIÓN ENFOCADA</w:t>
      </w:r>
    </w:p>
    <w:p>
      <w:pPr>
        <w:widowControl/>
        <w:spacing w:line="276" w:lineRule="auto" w:before="180" w:after="180"/>
        <w:jc w:val="both"/>
      </w:pPr>
      <w:r>
        <w:rPr>
          <w:rFonts w:ascii="Times New Roman" w:hAnsi="Times New Roman"/>
          <w:sz w:val="22"/>
        </w:rP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pPr>
        <w:widowControl/>
        <w:spacing w:line="276" w:lineRule="auto" w:before="180" w:after="180"/>
        <w:jc w:val="both"/>
      </w:pPr>
      <w:r>
        <w:rPr>
          <w:rFonts w:ascii="Times New Roman" w:hAnsi="Times New Roman"/>
          <w:sz w:val="22"/>
        </w:rP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keepNext/>
        <w:spacing w:before="180" w:after="180"/>
        <w:jc w:val="both"/>
      </w:pPr>
      <w:r>
        <w:rPr>
          <w:rFonts w:ascii="Times New Roman" w:hAnsi="Times New Roman"/>
          <w:b/>
          <w:sz w:val="22"/>
        </w:rPr>
        <w:t>POR QUÉ FALLA LA SUITE HISTÓRICA</w:t>
      </w:r>
    </w:p>
    <w:p>
      <w:pPr>
        <w:widowControl/>
        <w:spacing w:line="276" w:lineRule="auto" w:before="180" w:after="180"/>
        <w:jc w:val="both"/>
      </w:pPr>
      <w:r>
        <w:rPr>
          <w:rFonts w:ascii="Times New Roman" w:hAnsi="Times New Roman"/>
          <w:sz w:val="22"/>
        </w:rPr>
        <w:t>Varias pruebas siguen intentando importar archivos emocionales desde escenarios, aunque ese flujo ahora los conserva como documentos y la carga emocional corresponde a /emociones-data. Otros casos usan archivos BIN o crean escenarios sin documento, hoy rechazados por el contrato Word y Excel obligatorio. Cinco fallos con 405 reflejan métodos o rutas históricas que ya no coinciden con routes/web.php.</w:t>
      </w:r>
    </w:p>
    <w:p>
      <w:pPr>
        <w:widowControl/>
        <w:spacing w:line="276" w:lineRule="auto" w:before="180" w:after="180"/>
        <w:jc w:val="both"/>
      </w:pPr>
      <w:r>
        <w:rPr>
          <w:rFonts w:ascii="Times New Roman" w:hAnsi="Times New Roman"/>
          <w:sz w:val="22"/>
        </w:rP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keepNext/>
        <w:spacing w:before="180" w:after="180"/>
        <w:jc w:val="both"/>
      </w:pPr>
      <w:r>
        <w:rPr>
          <w:rFonts w:ascii="Times New Roman" w:hAnsi="Times New Roman"/>
          <w:b/>
          <w:sz w:val="22"/>
        </w:rPr>
        <w:t>ALCANCE DE LA EVIDENCIA</w:t>
      </w:r>
    </w:p>
    <w:p>
      <w:pPr>
        <w:widowControl/>
        <w:spacing w:line="276" w:lineRule="auto" w:before="180" w:after="180"/>
        <w:jc w:val="both"/>
      </w:pPr>
      <w:r>
        <w:rPr>
          <w:rFonts w:ascii="Times New Roman" w:hAnsi="Times New Roman"/>
          <w:sz w:val="22"/>
        </w:rP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widowControl/>
        <w:spacing w:line="240" w:lineRule="auto" w:before="180" w:after="180"/>
        <w:jc w:val="both"/>
      </w:pPr>
      <w:r>
        <w:rPr>
          <w:rFonts w:ascii="Consolas" w:hAnsi="Consolas"/>
          <w:sz w:val="18"/>
        </w:rPr>
        <w:t>php vendor/phpunit/phpunit/phpunit --do-not-cache-result</w:t>
        <w:br/>
        <w:t>node --test tests/solarSampling.test.mjs tests/pagination.test.mjs</w:t>
        <w:br/>
        <w:t>node node_modules/vite/bin/vite.js build</w:t>
      </w:r>
    </w:p>
    <w:p>
      <w:pPr>
        <w:widowControl/>
        <w:spacing w:line="276" w:lineRule="auto" w:before="180" w:after="180"/>
        <w:jc w:val="both"/>
      </w:pPr>
      <w:r>
        <w:rPr>
          <w:rFonts w:ascii="Times New Roman" w:hAnsi="Times New Roman"/>
          <w:sz w:val="22"/>
        </w:rPr>
        <w:t>Para reproducir la prueba PHP debe conservarse la configuración testing con DB_CONNECTION=sqlite y DB_DATABASE=:memory:. El resultado de la selección enfocada acredita esos casos concretos; no cancela el estado fallido de la suite completa.</w:t>
      </w:r>
    </w:p>
    <w:p>
      <w:pPr>
        <w:keepNext/>
        <w:spacing w:before="180" w:after="180"/>
        <w:jc w:val="both"/>
      </w:pPr>
      <w:r>
        <w:rPr>
          <w:rFonts w:ascii="Times New Roman" w:hAnsi="Times New Roman"/>
          <w:b/>
          <w:sz w:val="22"/>
        </w:rPr>
        <w:t>16 HALLAZGOS Y PRIORIDADES DE CONSOLIDACIÓN</w:t>
      </w:r>
    </w:p>
    <w:p>
      <w:pPr>
        <w:widowControl/>
        <w:spacing w:line="276" w:lineRule="auto" w:before="180" w:after="180"/>
        <w:jc w:val="both"/>
      </w:pPr>
      <w:r>
        <w:rPr>
          <w:rFonts w:ascii="Times New Roman" w:hAnsi="Times New Roman"/>
          <w:sz w:val="22"/>
        </w:rPr>
        <w:t>Los siguientes hallazgos describen límites observables del código y acciones propuestas. No son funciones adicionales ya implementadas ni cambios realizados por este informe.</w:t>
      </w:r>
    </w:p>
    <w:p>
      <w:pPr>
        <w:keepNext/>
        <w:spacing w:before="180" w:after="120"/>
        <w:jc w:val="center"/>
      </w:pPr>
      <w:r>
        <w:rPr>
          <w:rFonts w:ascii="Times New Roman" w:hAnsi="Times New Roman"/>
          <w:b/>
          <w:sz w:val="22"/>
        </w:rPr>
        <w:t>Tabla 16. Hallazgos y prioridades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76"/>
        <w:gridCol w:w="4003"/>
        <w:gridCol w:w="4380"/>
      </w:tblGrid>
      <w:tr>
        <w:trPr>
          <w:cantSplit/>
          <w:tblHeader/>
        </w:trPr>
        <w:tc>
          <w:tcPr>
            <w:tcW w:type="dxa" w:w="976"/>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Prioridad</w:t>
            </w:r>
          </w:p>
        </w:tc>
        <w:tc>
          <w:tcPr>
            <w:tcW w:type="dxa" w:w="400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Hallazgo</w:t>
            </w:r>
          </w:p>
        </w:tc>
        <w:tc>
          <w:tcPr>
            <w:tcW w:type="dxa" w:w="4380"/>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Acción concreta</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La API pública entrega miembros, correos, contenidos y exportaciones emocionales completas sin paginación.</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Definir qué datos deben ser públicos, reducir las respuestas y aplicar autenticación cuando la distribución no deba ser abierta.</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invitación de escenarios exige roles históricos que ya no asigna la ficha de usuario.</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Validar módulo o permiso vigente y estado activo del destinatario; añadir prueba de usuario nuevo invitado.</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emotion_members no condiciona las consultas o cargas revisadas.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Aplicar autorización por reunión si se pretende aislamiento; alinear manager y viewer con operaciones concretas.</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La suite completa presenta 14 fallos y 2 errores.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Actualizar casos al contrato vigente y resolver regresiones hasta obtener una ejecución consistente.</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Alta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El panel muestra carga de archivos a administradores, pero el middleware owner puede rechazarla cuando no son propietarios.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Alinear visibilidad y autorización o retirar la opción para administradores sin propiedad.</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El directorio de escenarios está en storage/app/public.</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Revisar enlaces y servidor: si se expone por /storage, una URL directa puede eludir controles de descarga del panel.</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 Excel solar inválido se conserva como documento sin detallar el incumplimiento de esquema.</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Mostrar al operador si el archivo fue archivado como documento o importado como datos, junto con errores de validación accionables.</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Energía almacenada rotulada W y acumulados pendientes de confirmación física.</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Acordar diccionario de unidades con el productor antes de habilitar conversiones o tasas.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Una carga emocional de varias reuniones confirma cada grupo por separado.</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Definir si se requiere atomicidad global o reporte de resultados parciales y probar fallos de escritura.</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Versiones del dashboard suma etiquetas decimales.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Contar revisiones reales y separar versión actual de cantidad de publicaciones.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Importaciones síncronas y series completas en memoria.</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Medir memoria, latencia y tamaño de respuesta; introducir colas o paginación contractual cuando sea necesario.</w:t>
            </w:r>
          </w:p>
        </w:tc>
      </w:tr>
      <w:tr>
        <w:trPr>
          <w:cantSplit/>
        </w:trPr>
        <w:tc>
          <w:tcPr>
            <w:tcW w:type="dxa" w:w="976"/>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Baja</w:t>
            </w:r>
          </w:p>
        </w:tc>
        <w:tc>
          <w:tcPr>
            <w:tcW w:type="dxa" w:w="400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Búsqueda global y contador de tres notificaciones no ejecutan operaciones.</w:t>
            </w:r>
          </w:p>
        </w:tc>
        <w:tc>
          <w:tcPr>
            <w:tcW w:type="dxa" w:w="4380"/>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Conectar estas piezas a fuentes reales o retirarlas para evitar indicadores engañosos.</w:t>
            </w:r>
          </w:p>
        </w:tc>
      </w:tr>
      <w:tr>
        <w:trPr>
          <w:cantSplit/>
        </w:trPr>
        <w:tc>
          <w:tcPr>
            <w:tcW w:type="dxa" w:w="976"/>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Baja</w:t>
            </w:r>
          </w:p>
        </w:tc>
        <w:tc>
          <w:tcPr>
            <w:tcW w:type="dxa" w:w="400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Dependencias históricas y métodos sin rutas activas.</w:t>
            </w:r>
          </w:p>
        </w:tc>
        <w:tc>
          <w:tcPr>
            <w:tcW w:type="dxa" w:w="4380"/>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Revisar uso real antes de retirar código; mantener el catálogo funcional centrado en rutas publicadas.</w:t>
            </w:r>
          </w:p>
        </w:tc>
      </w:tr>
    </w:tbl>
    <w:p>
      <w:pPr>
        <w:widowControl/>
        <w:spacing w:line="276" w:lineRule="auto" w:before="180" w:after="0"/>
        <w:jc w:val="both"/>
      </w:pPr>
      <w:r>
        <w:rPr>
          <w:rFonts w:ascii="Times New Roman" w:hAnsi="Times New Roman"/>
          <w:sz w:val="22"/>
        </w:rPr>
      </w:r>
    </w:p>
    <w:p>
      <w:pPr>
        <w:keepNext/>
        <w:spacing w:before="180" w:after="180"/>
        <w:jc w:val="both"/>
      </w:pPr>
      <w:r>
        <w:rPr>
          <w:rFonts w:ascii="Times New Roman" w:hAnsi="Times New Roman"/>
          <w:b/>
          <w:sz w:val="22"/>
        </w:rPr>
        <w:t>ALCANCE FUNCIONAL DOCUMENTADO</w:t>
      </w:r>
    </w:p>
    <w:p>
      <w:pPr>
        <w:widowControl/>
        <w:spacing w:line="276" w:lineRule="auto" w:before="180" w:after="180"/>
        <w:jc w:val="both"/>
      </w:pPr>
      <w:r>
        <w:rPr>
          <w:rFonts w:ascii="Times New Roman" w:hAnsi="Times New Roman"/>
          <w:sz w:val="22"/>
        </w:rPr>
        <w:t>El catálogo funcional se limita a las operaciones presentes en las rutas, controladores, servicios y pantallas vigentes de Scene Hub. Cualquier ampliación futura deberá comenzar con esquema de datos, formato de importación, validaciones, versionado, autorización y contrato de consulta definidos.</w:t>
      </w:r>
    </w:p>
    <w:p>
      <w:pPr>
        <w:keepNext/>
        <w:spacing w:before="180" w:after="180"/>
        <w:jc w:val="both"/>
      </w:pPr>
      <w:r>
        <w:rPr>
          <w:rFonts w:ascii="Times New Roman" w:hAnsi="Times New Roman"/>
          <w:b/>
          <w:sz w:val="22"/>
        </w:rPr>
        <w:t>17 CRITERIOS DE CIERRE, CONCLUSIÓN Y REFERENCIAS</w:t>
      </w:r>
    </w:p>
    <w:p>
      <w:pPr>
        <w:keepNext/>
        <w:spacing w:before="180" w:after="180"/>
        <w:jc w:val="both"/>
      </w:pPr>
      <w:r>
        <w:rPr>
          <w:rFonts w:ascii="Times New Roman" w:hAnsi="Times New Roman"/>
          <w:b/>
          <w:sz w:val="22"/>
        </w:rPr>
        <w:t>CRITERIOS PARA UNA VERSIÓN CONSOLIDADA</w:t>
      </w:r>
    </w:p>
    <w:p>
      <w:pPr>
        <w:widowControl/>
        <w:spacing w:line="276" w:lineRule="auto" w:before="180" w:after="180"/>
        <w:jc w:val="both"/>
      </w:pPr>
      <w:r>
        <w:rPr>
          <w:rFonts w:ascii="Times New Roman" w:hAnsi="Times New Roman"/>
          <w:sz w:val="22"/>
        </w:rP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pPr>
        <w:widowControl/>
        <w:spacing w:line="276" w:lineRule="auto" w:before="180" w:after="180"/>
        <w:jc w:val="both"/>
      </w:pPr>
      <w:r>
        <w:rPr>
          <w:rFonts w:ascii="Times New Roman" w:hAnsi="Times New Roman"/>
          <w:sz w:val="22"/>
        </w:rP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pPr>
        <w:widowControl/>
        <w:spacing w:line="276" w:lineRule="auto" w:before="180" w:after="180"/>
        <w:jc w:val="both"/>
      </w:pPr>
      <w:r>
        <w:rPr>
          <w:rFonts w:ascii="Times New Roman" w:hAnsi="Times New Roman"/>
          <w:sz w:val="22"/>
        </w:rPr>
        <w:t>Calidad y operación: la suite completa del contrato vigente debe aprobarse, el despliegue debe incluir frontend compilado y migraciones correctas, y una restauración de respaldo debe recuperar tanto datos como archivos. Cualquier módulo futuro debe incorporarse únicamente después de definir y probar su contrato técnico completo.</w:t>
      </w:r>
    </w:p>
    <w:p>
      <w:pPr>
        <w:keepNext/>
        <w:spacing w:before="180" w:after="180"/>
        <w:jc w:val="both"/>
      </w:pPr>
      <w:r>
        <w:rPr>
          <w:rFonts w:ascii="Times New Roman" w:hAnsi="Times New Roman"/>
          <w:b/>
          <w:sz w:val="22"/>
        </w:rPr>
        <w:t>CONCLUSIÓN</w:t>
      </w:r>
    </w:p>
    <w:p>
      <w:pPr>
        <w:widowControl/>
        <w:spacing w:line="276" w:lineRule="auto" w:before="180" w:after="180"/>
        <w:jc w:val="both"/>
      </w:pPr>
      <w:r>
        <w:rPr>
          <w:rFonts w:ascii="Times New Roman" w:hAnsi="Times New Roman"/>
          <w:sz w:val="22"/>
        </w:rPr>
        <w:t>Scene Hub dispone actualmente de una biblioteca de escenarios con documentos Word y Excel, importación y versionado solar, consulta histórica de publicaciones, gestión de usuarios por módulos y un dominio emocional independiente por webinar. Su API externa es de solo lectura. La siguiente etapa técnica consiste en cerrar las inconsistencias de acceso y pruebas, reducir la exposición pública según la política del proyecto, estabilizar los contratos científicos y verificar la operación del entorno de destino.</w:t>
      </w:r>
    </w:p>
    <w:p>
      <w:pPr>
        <w:keepNext/>
        <w:spacing w:before="180" w:after="180"/>
        <w:jc w:val="both"/>
      </w:pPr>
      <w:r>
        <w:rPr>
          <w:rFonts w:ascii="Times New Roman" w:hAnsi="Times New Roman"/>
          <w:b/>
          <w:sz w:val="22"/>
        </w:rPr>
        <w:t>REFERENCIAS</w:t>
      </w:r>
    </w:p>
    <w:p>
      <w:pPr>
        <w:widowControl/>
        <w:spacing w:line="276" w:lineRule="auto" w:before="180" w:after="180"/>
        <w:jc w:val="both"/>
      </w:pPr>
      <w:r>
        <w:rPr>
          <w:rFonts w:ascii="Times New Roman" w:hAnsi="Times New Roman"/>
          <w:sz w:val="22"/>
        </w:rPr>
        <w:t>Las rutas siguientes son relativas a la raíz del repositorio y permiten localizar las definiciones descritas. La revisión toma como base HEAD 8036886, con árbol de trabajo limpio al iniciar el análisis.</w:t>
      </w:r>
    </w:p>
    <w:p>
      <w:pPr>
        <w:keepNext/>
        <w:spacing w:before="180" w:after="120"/>
        <w:jc w:val="center"/>
      </w:pPr>
      <w:r>
        <w:rPr>
          <w:rFonts w:ascii="Times New Roman" w:hAnsi="Times New Roman"/>
          <w:b/>
          <w:sz w:val="22"/>
        </w:rPr>
        <w:t>Tabla 17. Referencias de implementación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23"/>
        <w:gridCol w:w="7337"/>
      </w:tblGrid>
      <w:tr>
        <w:trPr>
          <w:cantSplit/>
          <w:tblHeader/>
        </w:trPr>
        <w:tc>
          <w:tcPr>
            <w:tcW w:type="dxa" w:w="2023"/>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Referencia</w:t>
            </w:r>
          </w:p>
        </w:tc>
        <w:tc>
          <w:tcPr>
            <w:tcW w:type="dxa" w:w="7337"/>
            <w:vAlign w:val="center"/>
            <w:shd w:fill="4A86E8"/>
            <w:tcMar>
              <w:top w:w="85" w:type="dxa"/>
              <w:bottom w:w="85" w:type="dxa"/>
              <w:left w:w="85" w:type="dxa"/>
              <w:right w:w="85" w:type="dxa"/>
            </w:tcMar>
          </w:tcPr>
          <w:p>
            <w:pPr>
              <w:spacing w:after="40" w:before="40" w:line="245" w:lineRule="auto"/>
            </w:pPr>
            <w:r>
              <w:rPr>
                <w:rFonts w:ascii="Times New Roman" w:hAnsi="Times New Roman"/>
                <w:b/>
                <w:color w:val="FFFFFF"/>
                <w:sz w:val="18"/>
              </w:rPr>
              <w:t>Archivos o historial</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Evolución</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git log desde b77bbcd; b77bbcd, c887207, 585b9ae, 8ab551e, b550022, 2936894, 21c5d28, e032e58, 2cc9350, 474287e, 2610ce6, 18679d6 y 8036886.</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Arquitectura y rutas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composer.json; package.json; bootstrap/app.php; routes/api.php; routes/web.php.</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Identidad</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app/Http/Controllers/LoginController.php y UserController.php; app/Http/Middleware/EnsureUserIsActive.php; database/seeders/RolesAndPermissionsSeeder.php.</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Escenarios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app/Http/Controllers/EscenariosController.php; app/Http/Middleware/EnsureScenarioAccess.php; app/Models/Escenario.php y EscenarioContenido.php.</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Importación y versiones</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app/Services/ScenarioSolarImport.php, ScenarioEmotionImport.php y DataVersions.php; app/Http/Controllers/DataVersionsController.php.</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Emociones</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app/Http/Controllers/EmocionesController.php; migraciones de emotions, emotions_prom y emotion_members.</w:t>
            </w:r>
          </w:p>
        </w:tc>
      </w:tr>
      <w:tr>
        <w:trPr>
          <w:cantSplit/>
        </w:trPr>
        <w:tc>
          <w:tcPr>
            <w:tcW w:type="dxa" w:w="2023"/>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Interfaz</w:t>
            </w:r>
          </w:p>
        </w:tc>
        <w:tc>
          <w:tcPr>
            <w:tcW w:type="dxa" w:w="7337"/>
            <w:vAlign w:val="center"/>
            <w:shd w:fill="FFFFFF"/>
            <w:tcMar>
              <w:top w:w="85" w:type="dxa"/>
              <w:bottom w:w="85" w:type="dxa"/>
              <w:left w:w="85" w:type="dxa"/>
              <w:right w:w="85" w:type="dxa"/>
            </w:tcMar>
          </w:tcPr>
          <w:p>
            <w:pPr>
              <w:spacing w:after="40" w:before="40" w:line="245" w:lineRule="auto"/>
            </w:pPr>
            <w:r>
              <w:rPr>
                <w:rFonts w:ascii="Times New Roman" w:hAnsi="Times New Roman"/>
                <w:sz w:val="18"/>
              </w:rPr>
              <w:t>resources/js/app.jsx; resources/js/http.js; resources/js/pages; resources/js/components/SolarResults.jsx, solarSampling.js y EmotionAverageResults.jsx.</w:t>
            </w:r>
          </w:p>
        </w:tc>
      </w:tr>
      <w:tr>
        <w:trPr>
          <w:cantSplit/>
        </w:trPr>
        <w:tc>
          <w:tcPr>
            <w:tcW w:type="dxa" w:w="2023"/>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Operación e integración</w:t>
            </w:r>
          </w:p>
        </w:tc>
        <w:tc>
          <w:tcPr>
            <w:tcW w:type="dxa" w:w="7337"/>
            <w:vAlign w:val="center"/>
            <w:shd w:fill="EEF3FA"/>
            <w:tcMar>
              <w:top w:w="85" w:type="dxa"/>
              <w:bottom w:w="85" w:type="dxa"/>
              <w:left w:w="85" w:type="dxa"/>
              <w:right w:w="85" w:type="dxa"/>
            </w:tcMar>
          </w:tcPr>
          <w:p>
            <w:pPr>
              <w:spacing w:after="40" w:before="40" w:line="245" w:lineRule="auto"/>
            </w:pPr>
            <w:r>
              <w:rPr>
                <w:rFonts w:ascii="Times New Roman" w:hAnsi="Times New Roman"/>
                <w:sz w:val="18"/>
              </w:rPr>
              <w:t>docs/unity-data-api.md; docs/solar-results-api.md; docs/despliegue-hostinger.md; Dockerfile; phpunit.xml; tests/Feature y pruebas .mjs.</w:t>
            </w:r>
          </w:p>
        </w:tc>
      </w:tr>
    </w:tbl>
    <w:p>
      <w:pPr>
        <w:widowControl/>
        <w:spacing w:line="276" w:lineRule="auto" w:before="180" w:after="0"/>
        <w:jc w:val="both"/>
      </w:pPr>
      <w:r>
        <w:rPr>
          <w:rFonts w:ascii="Times New Roman" w:hAnsi="Times New Roman"/>
          <w:sz w:val="22"/>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drawing>
        <wp:inline distB="114300" distT="114300" distL="114300" distR="114300">
          <wp:extent cx="5943600" cy="635000"/>
          <wp:effectExtent b="0" l="0" r="0" t="0"/>
          <wp:docPr id="7" name="image1.png" descr="Logotipos de las instituciones participantes" title="Encabezado institucional"/>
          <a:graphic>
            <a:graphicData uri="http://schemas.openxmlformats.org/drawingml/2006/picture">
              <pic:pic>
                <pic:nvPicPr>
                  <pic:cNvPr id="0" name="image1.png" descr="Logotipos de las instituciones participantes" title="Encabezado institucional"/>
                  <pic:cNvPicPr preferRelativeResize="0"/>
                </pic:nvPicPr>
                <pic:blipFill>
                  <a:blip r:embed="rId1"/>
                  <a:srcRect b="0" l="0" r="0" t="0"/>
                  <a:stretch>
                    <a:fillRect/>
                  </a:stretch>
                </pic:blipFill>
                <pic:spPr>
                  <a:xfrm>
                    <a:off x="0" y="0"/>
                    <a:ext cx="5943600" cy="6350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76" w:lineRule="auto" w:before="180" w:after="180"/>
    </w:pPr>
    <w:rPr>
      <w:rFonts w:ascii="Times New Roman" w:hAnsi="Times New Roman"/>
      <w:color w:val="000000"/>
      <w:sz w:val="22"/>
    </w:rPr>
  </w:style>
  <w:style w:type="paragraph" w:styleId="Heading1">
    <w:name w:val="heading 1"/>
    <w:basedOn w:val="Normal"/>
    <w:next w:val="Normal"/>
    <w:pPr>
      <w:keepNext w:val="1"/>
      <w:keepLines w:val="1"/>
      <w:spacing w:after="180" w:before="180" w:lineRule="auto" w:line="276"/>
    </w:pPr>
    <w:rPr>
      <w:rFonts w:ascii="Times New Roman" w:cs="Play" w:eastAsia="Play" w:hAnsi="Times New Roman"/>
      <w:color w:val="000000"/>
      <w:sz w:val="22"/>
      <w:szCs w:val="40"/>
    </w:rPr>
  </w:style>
  <w:style w:type="paragraph" w:styleId="Heading2">
    <w:name w:val="heading 2"/>
    <w:basedOn w:val="Normal"/>
    <w:next w:val="Normal"/>
    <w:pPr>
      <w:keepNext w:val="1"/>
      <w:keepLines w:val="1"/>
      <w:spacing w:after="180" w:before="180" w:lineRule="auto" w:line="276"/>
    </w:pPr>
    <w:rPr>
      <w:rFonts w:ascii="Times New Roman" w:cs="Play" w:eastAsia="Play" w:hAnsi="Times New Roman"/>
      <w:color w:val="000000"/>
      <w:sz w:val="22"/>
      <w:szCs w:val="32"/>
    </w:rPr>
  </w:style>
  <w:style w:type="paragraph" w:styleId="Heading3">
    <w:name w:val="heading 3"/>
    <w:basedOn w:val="Normal"/>
    <w:next w:val="Normal"/>
    <w:pPr>
      <w:keepNext w:val="1"/>
      <w:keepLines w:val="1"/>
      <w:spacing w:after="180" w:before="180" w:lineRule="auto" w:line="276"/>
    </w:pPr>
    <w:rPr>
      <w:rFonts w:ascii="Times New Roman" w:hAnsi="Times New Roman"/>
      <w:color w:val="000000"/>
      <w:sz w:val="22"/>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80" w:lineRule="auto" w:line="276" w:before="180"/>
      <w:jc w:val="center"/>
    </w:pPr>
    <w:rPr>
      <w:rFonts w:ascii="Times New Roman" w:cs="Play" w:eastAsia="Play" w:hAnsi="Times New Roman"/>
      <w:color w:val="000000"/>
      <w:sz w:val="22"/>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80" w:lineRule="auto" w:line="276" w:before="180"/>
      <w:jc w:val="center"/>
    </w:pPr>
    <w:rPr>
      <w:rFonts w:ascii="Times New Roman" w:cs="Play" w:eastAsia="Play" w:hAnsi="Times New Roman"/>
      <w:color w:val="000000"/>
      <w:sz w:val="22"/>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3AXzbnURKD+TskdgaZjDCpAdw==">CgMxLjAaHwoBMBIaChgICVIUChJ0YWJsZS44ZTZjOG40bzEwY20aHwoBMRIaChgICVIUChJ0YWJsZS50dGFuMm02a3FvNGw4AHIhMWQ5TWIxNkwxdUJnc1ZhX0FiSzlnbGJKZGJJRFpEWGFW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Scene Hub — informe técnico del estado actual</dc:title>
  <cp:lastModifiedBy>python-docx</cp:lastModifiedBy>
  <cp:revision>1</cp:revision>
  <dcterms:modified xsi:type="dcterms:W3CDTF">2026-09-17T16:45:52Z</dcterms:modified>
  <dc:subject>Anexo técnico adaptado al formato institucional suministrado</dc:subject>
  <dc:creator>Documentación técnica de Scene Hub</dc:creator>
</cp:coreProperties>
</file>