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689 fichas disponíveis (689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689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Astréia — RC-027</w:t>
      </w:r>
    </w:p>
    <w:p>
      <w:pPr>
        <w:pStyle w:val="Heading2"/>
      </w:pPr>
      <w:r>
        <w:rPr>
          <w:color w:val="1F3A5F"/>
        </w:rPr>
        <w:t>Definição Sintética</w:t>
      </w:r>
    </w:p>
    <w:p>
      <w:pPr>
        <w:spacing w:after="80"/>
      </w:pPr>
      <w:r>
        <w:t xml:space="preserve">Personagem da mitologia grega relida pelas Revelações Cósmicas como identidade cósmica: filha de Zeus e Têmis, deusa virgem da Justiça (juntamente com a mãe), da Inocência e da Pureza, que pregava a sabedoria e ensinava aos humanos atividades caseiras — caçar, plantar (B031, glossário). Na leitura da RC, Astréia era um dos «Seres dos Portais»: antes de renascer como demo no universo paralelo, foi </w:t>
      </w:r>
      <w:r>
        <w:rPr>
          <w:b/>
        </w:rPr>
        <w:t>Val Bon</w:t>
      </w:r>
      <w:r>
        <w:t xml:space="preserve"> (RC-116), biodemo do Sistema de Capela que habitava o nosso universo e, após falecer no planeta Terra, tornou-se um dos 9 Val dos Corpos Perdidos (ou Dimensionados) de Val-Ha. A fonte oral a emparelha com Despina (RC-051) entre as figuras que passaram a criticar a gestão de Zeus.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P2023-05-21.</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126</w:t>
            </w:r>
          </w:p>
        </w:tc>
        <w:tc>
          <w:tcPr>
            <w:tcW w:type="dxa" w:w="2436"/>
          </w:tcPr>
          <w:p>
            <w:pPr>
              <w:spacing w:after="0"/>
            </w:pPr>
            <w:r>
              <w:rPr>
                <w:sz w:val="18"/>
              </w:rPr>
              <w:t>livro; citação intra-linha</w:t>
            </w:r>
          </w:p>
        </w:tc>
      </w:tr>
      <w:tr>
        <w:tc>
          <w:tcPr>
            <w:tcW w:type="dxa" w:w="2436"/>
          </w:tcPr>
          <w:p>
            <w:pPr>
              <w:spacing w:after="0"/>
            </w:pPr>
            <w:r>
              <w:rPr>
                <w:sz w:val="18"/>
              </w:rPr>
              <w:t>P2023-05-21</w:t>
            </w:r>
          </w:p>
        </w:tc>
        <w:tc>
          <w:tcPr>
            <w:tcW w:type="dxa" w:w="2436"/>
          </w:tcPr>
          <w:p>
            <w:pPr>
              <w:spacing w:after="0"/>
            </w:pPr>
            <w:r>
              <w:rPr>
                <w:sz w:val="18"/>
              </w:rPr>
              <w:t>A hebdomada de Apolo — o ultraje humano</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«Astréia: Na Mitologia Grega é filha de Zeus e Têmis.» — B031 p. 126 · `original.txt` L3156 · glossário, verbete «Astréia» — sentença completa que coube inteira na linha.</w:t>
      </w:r>
    </w:p>
    <w:p>
      <w:pPr>
        <w:ind w:left="397"/>
      </w:pPr>
      <w:r>
        <w:rPr>
          <w:i/>
          <w:color w:val="555555"/>
        </w:rPr>
        <w:t>«Então essa figura chamada astreia, ela tinha um padrão de lucidez demo notável.» — P2023-05-21 · `original.txt` L22 · palestra (STT) — sentença completa; grafia degradada «astreia» mantida como na fonte.</w:t>
      </w:r>
    </w:p>
    <w:p>
      <w:pPr>
        <w:pStyle w:val="Heading2"/>
      </w:pPr>
      <w:r>
        <w:rPr>
          <w:color w:val="1F3A5F"/>
        </w:rPr>
        <w:t>Observações</w:t>
      </w:r>
    </w:p>
    <w:p>
      <w:pPr>
        <w:pStyle w:val="ListBullet"/>
      </w:pPr>
      <w:r>
        <w:t>O lanço do glossário que dá a identidade cósmica («Seres dos Portais» → Val Bon → um dos 9 Val) ocupa as linhas 3159–3163 de B031 e está fraturado pelo hard-wrap em cinco fragmentos — nenhum deles é sentença completa intra-linha; por isso a Citações-chave fixa o verbete e a definição sintética o declara como dado da fonte (reconferência após o refinamento R2).</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Atlantes — RC-030</w:t>
      </w:r>
    </w:p>
    <w:p>
      <w:pPr>
        <w:pStyle w:val="Heading2"/>
      </w:pPr>
      <w:r>
        <w:rPr>
          <w:color w:val="1F3A5F"/>
        </w:rPr>
        <w:t>Definição Sintética</w:t>
      </w:r>
    </w:p>
    <w:p>
      <w:pPr>
        <w:spacing w:after="80"/>
      </w:pPr>
      <w:r>
        <w:t xml:space="preserve">Os «lendários Atlantes» do Império Atlante: segundo B031, eram, na verdade, </w:t>
      </w:r>
      <w:r>
        <w:rPr>
          <w:b/>
        </w:rPr>
        <w:t>biodemos rebeldes clonados</w:t>
      </w:r>
      <w:r>
        <w:t xml:space="preserve"> — depois de chegarem à Terra, uma parte dos biodemos exilados originais, no intuito de aumentar o contingente e criar um «exército» de defesa contra um possível ataque, começou a clonar-se (eram assexuados, e a clonagem era a sua única forma de reprodução/multiplicação). A entrada é distinta de «Atlans» (uma das 40 bases luciferianas do Império Atlante) e articula-se com Atlan (RC-028) e Atlântida / Terra Atlantis (RC-010).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associado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127</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«Atlantes: Os lendários Atlantes, do Império Atlante, eram, na» — B031 p. 127 · `original.txt` L3177 · glossário, verbete «Atlantes» — início da sentença (continua em L3178).</w:t>
      </w:r>
    </w:p>
    <w:p>
      <w:pPr>
        <w:ind w:left="397"/>
      </w:pPr>
      <w:r>
        <w:rPr>
          <w:i/>
          <w:color w:val="555555"/>
        </w:rPr>
        <w:t>«verdade, biodemos rebeldes clonados.» — B031 p. 127 · `original.txt` L3178 · mesma sentença, fraturada pelo hard-wrap — fecho intra-linha.</w:t>
      </w:r>
    </w:p>
    <w:p>
      <w:pPr>
        <w:ind w:left="397"/>
      </w:pPr>
      <w:r>
        <w:rPr>
          <w:i/>
          <w:color w:val="555555"/>
        </w:rPr>
        <w:t>«a clonagem era a sua única forma de reprodução/multiplicação» — B031 p. 127 · `original.txt` L3182 · fecho da sentença sobre a clonagem (iniciada em L3181; na fonte o fecho é «…multiplicação).»).</w:t>
      </w:r>
    </w:p>
    <w:p>
      <w:pPr>
        <w:pStyle w:val="Heading2"/>
      </w:pPr>
      <w:r>
        <w:rPr>
          <w:color w:val="1F3A5F"/>
        </w:rPr>
        <w:t>Observações</w:t>
      </w:r>
    </w:p>
    <w:p>
      <w:pPr>
        <w:pStyle w:val="ListBullet"/>
      </w:pPr>
      <w:r>
        <w:t>As três citações são fragmentos de duas sentenças partidas pelo hard-wrap da edição digital: cada fragmento é verbatim intra-linha, mas nenhuma das duas sentenças cabe inteira numa linha de B031 (maior linha do arquivo = 92 chars).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Cultura Demo — RC-044</w:t>
      </w:r>
    </w:p>
    <w:p>
      <w:pPr>
        <w:pStyle w:val="Heading2"/>
      </w:pPr>
      <w:r>
        <w:rPr>
          <w:color w:val="1F3A5F"/>
        </w:rPr>
        <w:t>Definição Sintética</w:t>
      </w:r>
    </w:p>
    <w:p>
      <w:pPr>
        <w:spacing w:after="80"/>
      </w:pPr>
      <w:r>
        <w:t>Segundo B031, a cultura correspondente às páginas das mitologias que jamais foram consideradas dignas de serem tomadas como verdade, sob a perspectiva de serem invenções de nossos ancestrais: a «cultura demo» é a que foi produzida nas diversas «moradas» do universo antimaterial, onde vivem inúmeras classes de seres demos, equivocadamente tidos como personagens mitológicos. Em B044, Krishna é apresentado como o grande definidor ou mesmo revelador dessas questões para os povos da cultura demo e seus descendentes que passaram a viver na Terra; e o modo comum a essa cultura, associado à lei do dharma, é tratado à parte como «cultura demodhármica» (RC-183).</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B044.</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«Cultura Demo: Cultura correspondente às páginas das mitologias» — B031 p. 129 · `original.txt` L3257 · glossário, verbete «Cultura Demo» — início da sentença (continua em L3258).</w:t>
      </w:r>
    </w:p>
    <w:p>
      <w:pPr>
        <w:ind w:left="397"/>
      </w:pPr>
      <w:r>
        <w:rPr>
          <w:i/>
          <w:color w:val="555555"/>
        </w:rPr>
        <w:t>«que jamais foram consideradas como dignas de serem tomadas como» — B031 p. 129 · `original.txt` L3258 · mesma sentença, fraturada pelo hard-wrap.</w:t>
      </w:r>
    </w:p>
    <w:p>
      <w:pPr>
        <w:ind w:left="397"/>
      </w:pPr>
      <w:r>
        <w:rPr>
          <w:i/>
          <w:color w:val="555555"/>
        </w:rPr>
        <w:t>«verdade, sob a perspectiva de serem invenções de nossos ancestrais.» — B031 p. 129 · `original.txt` L3259 · fecho intra-linha da mesma sentença.</w:t>
      </w:r>
    </w:p>
    <w:p>
      <w:pPr>
        <w:ind w:left="397"/>
      </w:pPr>
      <w:r>
        <w:rPr>
          <w:i/>
          <w:color w:val="555555"/>
        </w:rPr>
        <w:t>«“cultura demo”, portanto, seria a que foi produzida nas diversas “moradas”» — B031 p. 129 · `original.txt` L3260 · início da sentença que dá a natureza da cultura demo (continua em L3261).</w:t>
      </w:r>
    </w:p>
    <w:p>
      <w:pPr>
        <w:ind w:left="397"/>
      </w:pPr>
      <w:r>
        <w:rPr>
          <w:i/>
          <w:color w:val="555555"/>
        </w:rPr>
        <w:t>«do universo antimaterial, onde vivem inúmeras classes de seres demos,» — B031 p. 129 · `original.txt` L3261 · mesma sentença, fraturada pelo hard-wrap.</w:t>
      </w:r>
    </w:p>
    <w:p>
      <w:pPr>
        <w:ind w:left="397"/>
      </w:pPr>
      <w:r>
        <w:rPr>
          <w:i/>
          <w:color w:val="555555"/>
        </w:rPr>
        <w:t>«equivocadamente tidos como sendo personagens mitológicos.» — B031 p. 129 · `original.txt` L3262 · fecho intra-linha da mesma sentença.</w:t>
      </w:r>
    </w:p>
    <w:p>
      <w:pPr>
        <w:pStyle w:val="Heading2"/>
      </w:pPr>
      <w:r>
        <w:rPr>
          <w:color w:val="1F3A5F"/>
        </w:rPr>
        <w:t>Observações</w:t>
      </w:r>
    </w:p>
    <w:p>
      <w:pPr>
        <w:pStyle w:val="ListBullet"/>
      </w:pPr>
      <w:r>
        <w:t>B044 comparece no cadastro como fonte e a busca de 13/09/2026 localizou nele o sintagma em duas passagens — L1851 (Krishna como definidor para os povos «da cultura demo e de seus descendentes que passaram a viver na Terra») e L5445, que pertence ao verbete vizinho «Cultura Demodhármica» (RC-183); nenhuma delas coube inteira numa linha, e por isso a citação-chave ficou com o glossário de B031.</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Demônios — RC-050</w:t>
      </w:r>
    </w:p>
    <w:p>
      <w:pPr>
        <w:pStyle w:val="Heading2"/>
      </w:pPr>
      <w:r>
        <w:rPr>
          <w:color w:val="1F3A5F"/>
        </w:rPr>
        <w:t>Definição Sintética</w:t>
      </w:r>
    </w:p>
    <w:p>
      <w:pPr>
        <w:spacing w:after="80"/>
      </w:pPr>
      <w:r>
        <w:t xml:space="preserve">Nas Revelações Cósmicas, «demônio» (ou </w:t>
      </w:r>
      <w:r>
        <w:rPr>
          <w:b/>
        </w:rPr>
        <w:t>demo</w:t>
      </w:r>
      <w:r>
        <w:t xml:space="preserve">, do grego </w:t>
      </w:r>
      <w:r>
        <w:rPr>
          <w:i/>
        </w:rPr>
        <w:t>daemon</w:t>
      </w:r>
      <w:r>
        <w:t>) não é o «diabo» das igrejas: é a denominação dos seres extrafísicos (RC-097) que habitam o universo paralelo antimaterial, que não pertencem à espécie humana e detêm um corpo etéreo metamorfoseável conforme as circunstâncias — podiam ser sábios, elevados, cruéis ou estúpidos, «tinha de tudo entre os mesmos». B031 atribui a deturpação do conceito às igrejas Católica e Protestante (que igualaram «demônio» a «diabo») e recorda que, até o século II a.C., era natural a propensão a considerar deuses, demônios e anjos bons e maus. Os demos formam, com os anjos clones (RC-019), as duas classes dos seres extrafísicos, havendo diversas classes e famílias entre eles; vários deles são os «Seres dos Portais» das mitologias (RC-241).</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P2025-06-26.</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 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«“demônio” era apenas a denominação para aqueles seres» — B031 p. 13 · `original.txt` L266 · nota da autora (p. 14) — início da sentença (continua em L267).</w:t>
      </w:r>
    </w:p>
    <w:p>
      <w:pPr>
        <w:ind w:left="397"/>
      </w:pPr>
      <w:r>
        <w:rPr>
          <w:i/>
          <w:color w:val="555555"/>
        </w:rPr>
        <w:t>«dementes que se metamorfoseavam.» — B031 p. 13 · `original.txt` L267 · fecho intra-linha da mesma sentença.</w:t>
      </w:r>
    </w:p>
    <w:p>
      <w:pPr>
        <w:ind w:left="397"/>
      </w:pPr>
      <w:r>
        <w:rPr>
          <w:i/>
          <w:color w:val="555555"/>
        </w:rPr>
        <w:t>«Também há diversas classes e famílias entre os anjos clones e os demos.» — B031 p. 29 · `original.txt` L674 · seção «Seres Extrafísicos» — sentença completa intra-linha.</w:t>
      </w:r>
    </w:p>
    <w:p>
      <w:pPr>
        <w:pStyle w:val="Heading2"/>
      </w:pPr>
      <w:r>
        <w:rPr>
          <w:color w:val="1F3A5F"/>
        </w:rPr>
        <w:t>Observações</w:t>
      </w:r>
    </w:p>
    <w:p>
      <w:pPr>
        <w:pStyle w:val="ListBullet"/>
      </w:pPr>
      <w:r>
        <w:t>A entrada de glossário «Demônios» (L3316–L3335), que narra a deturpação do conceito pelas igrejas, está integralmente fraturada pelo hard-wrap — nem o início nem o fecho couberam numa linha; a Citações-chave fixa por isso a nota de abertura da obra (p. 14), que diz o mesmo em duas linhas.</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Despina — RC-051</w:t>
      </w:r>
    </w:p>
    <w:p>
      <w:pPr>
        <w:pStyle w:val="Heading2"/>
      </w:pPr>
      <w:r>
        <w:rPr>
          <w:color w:val="1F3A5F"/>
        </w:rPr>
        <w:t>Definição Sintética</w:t>
      </w:r>
    </w:p>
    <w:p>
      <w:pPr>
        <w:spacing w:after="80"/>
      </w:pPr>
      <w:r>
        <w:t xml:space="preserve">Na mitologia grega, deusa filha de Poseidon e Deméter, irmã gêmea do equino Árion; abandonada pela mãe ao nascer — Deméter estava ocupada em achar Perséfone, raptada por Hades —, nem nome recebeu, e foi adotada pelo titã Anitos, que lho escolheu. Era uma deusa das sombras relacionada a fenômenos invernais como as geadas: cuidava da natureza enquanto a irmã estava no mundo dos mortos e era tão temida que a chamavam apenas de «senhora». Na Revelação Cósmica, Despina é o renascimento de </w:t>
      </w:r>
      <w:r>
        <w:rPr>
          <w:b/>
        </w:rPr>
        <w:t>Val Anen</w:t>
      </w:r>
      <w:r>
        <w:t xml:space="preserve"> (RC-112), biodemo da Família Val falecido na primeira experiência dos Val fora das naves, há 599 mil anos, cuja consciência foi migrada para a família de demos dos «Seres dos Portais» (Deuses da Mitologia Grega).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B060, B089.</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variação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131, p. 148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«Despina: Na mitologia grega, era uma deusa, filha» — B031 p. 131 · `original.txt` L3336 · glossário, verbete «Despina» — início da sentença (continua em L3337).</w:t>
      </w:r>
    </w:p>
    <w:p>
      <w:pPr>
        <w:ind w:left="397"/>
      </w:pPr>
      <w:r>
        <w:rPr>
          <w:i/>
          <w:color w:val="555555"/>
        </w:rPr>
        <w:t>«de Poseidon e Deméter.» — B031 p. 131 · `original.txt` L3337 · fecho intra-linha da mesma sentença.</w:t>
      </w:r>
    </w:p>
    <w:p>
      <w:pPr>
        <w:ind w:left="397"/>
      </w:pPr>
      <w:r>
        <w:rPr>
          <w:i/>
          <w:color w:val="555555"/>
        </w:rPr>
        <w:t>«uma deusa das sombras relacionada a fenômenos invernais como as geadas.» — B031 p. 131 · `original.txt` L3342 · mesmo verbete — fecho intra-linha da sentença sobre o domínio da deusa.</w:t>
      </w:r>
    </w:p>
    <w:p>
      <w:pPr>
        <w:ind w:left="397"/>
      </w:pPr>
      <w:r>
        <w:rPr>
          <w:i/>
          <w:color w:val="555555"/>
        </w:rPr>
        <w:t>«Mitologia Grega) e renasceu como Despina.» — B031 p. 148 · `original.txt` L3908 · glossário, verbete «Val Anen» — fecho intra-linha da sentença que dá a identidade cósmica.</w:t>
      </w:r>
    </w:p>
    <w:p>
      <w:pPr>
        <w:pStyle w:val="Heading2"/>
      </w:pPr>
      <w:r>
        <w:rPr>
          <w:color w:val="1F3A5F"/>
        </w:rPr>
        <w:t>Observações</w:t>
      </w:r>
    </w:p>
    <w:p>
      <w:pPr>
        <w:pStyle w:val="ListBullet"/>
      </w:pPr>
      <w:r>
        <w:t>A Citações-chave reúne quatro fragmentos de três sentenças partidas pelo hard-wrap (B031, maior linha = 92 chars); a sentença da identidade cósmica começa em L3907 («migrada para a família de demos dos “Seres dos Portais” (Deuses da»).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Frota Norte — RC-065</w:t>
      </w:r>
    </w:p>
    <w:p>
      <w:pPr>
        <w:pStyle w:val="Heading2"/>
      </w:pPr>
      <w:r>
        <w:rPr>
          <w:color w:val="1F3A5F"/>
        </w:rPr>
        <w:t>Definição Sintética</w:t>
      </w:r>
    </w:p>
    <w:p>
      <w:pPr>
        <w:spacing w:after="80"/>
      </w:pPr>
      <w:r>
        <w:t>A designação dos 1.841 biodemos que passaram a viver em Benem, a base terrestre e subterrânea construída com as partes da nave Espherian — uma das três naves da Família Val que vieram para a Terra há 620 mil anos —, no Norte do planeta, onde hoje é a fronteira entre Alemanha, Bélgica e Holanda. Em B017, os rebeldes agrupados em Benem passam a compor uma força-tarefa que, por milênios, foi assim denominada em torno da nave Espheron; e em B018 a própria coletividade narra o seu surgimento: no padrão cultural algo isolado dos irmãos originais de Antlar, sem agenda comum com os «clonados rebeldes» ou com os «dimensionados», a Frota Norte surgiu em Benem como sendo o «norte existencial» daqueles 1841 seres biodemos originais, que foram gerando as suas próprias buscas e os seus próprios desafios.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B017, B018.</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w:t>
            </w:r>
          </w:p>
        </w:tc>
      </w:tr>
      <w:tr>
        <w:tc>
          <w:tcPr>
            <w:tcW w:type="dxa" w:w="3249"/>
          </w:tcPr>
          <w:p>
            <w:pPr>
              <w:spacing w:after="0"/>
            </w:pPr>
            <w:r>
              <w:rPr>
                <w:sz w:val="18"/>
              </w:rPr>
              <w:t>Conselho dos Cinco</w:t>
            </w:r>
          </w:p>
        </w:tc>
        <w:tc>
          <w:tcPr>
            <w:tcW w:type="dxa" w:w="3249"/>
          </w:tcPr>
          <w:p>
            <w:pPr>
              <w:spacing w:after="0"/>
            </w:pPr>
            <w:r>
              <w:rPr>
                <w:sz w:val="18"/>
              </w:rPr>
              <w:t>RC-043</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Yel Luziel</w:t>
            </w:r>
          </w:p>
        </w:tc>
        <w:tc>
          <w:tcPr>
            <w:tcW w:type="dxa" w:w="3249"/>
          </w:tcPr>
          <w:p>
            <w:pPr>
              <w:spacing w:after="0"/>
            </w:pPr>
            <w:r>
              <w:rPr>
                <w:sz w:val="18"/>
              </w:rPr>
              <w:t>RC-143</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 associado-a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133</w:t>
            </w:r>
          </w:p>
        </w:tc>
        <w:tc>
          <w:tcPr>
            <w:tcW w:type="dxa" w:w="2436"/>
          </w:tcPr>
          <w:p>
            <w:pPr>
              <w:spacing w:after="0"/>
            </w:pPr>
            <w:r>
              <w:rPr>
                <w:sz w:val="18"/>
              </w:rPr>
              <w:t>livro; citação intra-linha</w:t>
            </w:r>
          </w:p>
        </w:tc>
      </w:tr>
      <w:tr>
        <w:tc>
          <w:tcPr>
            <w:tcW w:type="dxa" w:w="2436"/>
          </w:tcPr>
          <w:p>
            <w:pPr>
              <w:spacing w:after="0"/>
            </w:pPr>
            <w:r>
              <w:rPr>
                <w:sz w:val="18"/>
              </w:rPr>
              <w:t>B017</w:t>
            </w:r>
          </w:p>
        </w:tc>
        <w:tc>
          <w:tcPr>
            <w:tcW w:type="dxa" w:w="2436"/>
          </w:tcPr>
          <w:p>
            <w:pPr>
              <w:spacing w:after="0"/>
            </w:pPr>
            <w:r>
              <w:rPr>
                <w:sz w:val="18"/>
              </w:rPr>
              <w:t>Terra Atlantis I: O Sinal de Land's End</w:t>
            </w:r>
          </w:p>
        </w:tc>
        <w:tc>
          <w:tcPr>
            <w:tcW w:type="dxa" w:w="2436"/>
          </w:tcPr>
          <w:p>
            <w:pPr>
              <w:spacing w:after="0"/>
            </w:pPr>
            <w:r>
              <w:rPr>
                <w:sz w:val="18"/>
              </w:rPr>
              <w:t>p. 181</w:t>
            </w:r>
          </w:p>
        </w:tc>
        <w:tc>
          <w:tcPr>
            <w:tcW w:type="dxa" w:w="2436"/>
          </w:tcPr>
          <w:p>
            <w:pPr>
              <w:spacing w:after="0"/>
            </w:pPr>
            <w:r>
              <w:rPr>
                <w:sz w:val="18"/>
              </w:rPr>
              <w:t>livro; citação intra-linha</w:t>
            </w:r>
          </w:p>
        </w:tc>
      </w:tr>
      <w:tr>
        <w:tc>
          <w:tcPr>
            <w:tcW w:type="dxa" w:w="2436"/>
          </w:tcPr>
          <w:p>
            <w:pPr>
              <w:spacing w:after="0"/>
            </w:pPr>
            <w:r>
              <w:rPr>
                <w:sz w:val="18"/>
              </w:rPr>
              <w:t>B018</w:t>
            </w:r>
          </w:p>
        </w:tc>
        <w:tc>
          <w:tcPr>
            <w:tcW w:type="dxa" w:w="2436"/>
          </w:tcPr>
          <w:p>
            <w:pPr>
              <w:spacing w:after="0"/>
            </w:pPr>
            <w:r>
              <w:rPr>
                <w:sz w:val="18"/>
              </w:rPr>
              <w:t>Terra Atlantis II: A Frota Norte</w:t>
            </w:r>
          </w:p>
        </w:tc>
        <w:tc>
          <w:tcPr>
            <w:tcW w:type="dxa" w:w="2436"/>
          </w:tcPr>
          <w:p>
            <w:pPr>
              <w:spacing w:after="0"/>
            </w:pPr>
            <w:r>
              <w:rPr>
                <w:sz w:val="18"/>
              </w:rPr>
              <w:t>p. 25</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«passaram a viver nesta base ficaram conhecidos como “Frota Norte”.» — B031 p. 133 · `original.txt` L3408 · glossário, verbete «Espherian» — fecho intra-linha da sentença.</w:t>
      </w:r>
    </w:p>
    <w:p>
      <w:pPr>
        <w:ind w:left="397"/>
      </w:pPr>
      <w:r>
        <w:rPr>
          <w:i/>
          <w:color w:val="555555"/>
        </w:rPr>
        <w:t>«milénios, foi denominada como sendo a Frota Norte, em torno da nave “espheron”.» — B017 p. 181 · `original.txt` L6733 · fecho intra-linha da sentença sobre a força-tarefa dos rebeldes.</w:t>
      </w:r>
    </w:p>
    <w:p>
      <w:pPr>
        <w:ind w:left="397"/>
      </w:pPr>
      <w:r>
        <w:rPr>
          <w:i/>
          <w:color w:val="555555"/>
        </w:rPr>
        <w:t>«isolado que a Frota Norte surgiu em Benem, como sendo o nosso “norte existencial”.» — B018 p. 25 · `original.txt` L870 · fecho intra-linha da sentença em que a própria Frota narra a sua origem.</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Genos — RC-066</w:t>
      </w:r>
    </w:p>
    <w:p>
      <w:pPr>
        <w:pStyle w:val="Heading2"/>
      </w:pPr>
      <w:r>
        <w:rPr>
          <w:color w:val="1F3A5F"/>
        </w:rPr>
        <w:t>Definição Sintética</w:t>
      </w:r>
    </w:p>
    <w:p>
      <w:pPr>
        <w:spacing w:after="80"/>
      </w:pPr>
      <w:r>
        <w:t>Termo da Mitologia Grega para as «moradas» do universo antimaterial: os genos são dimensões ou realidades alternativas onde vivem os anjos clones e os demos. São o mesmo que as lokas da tradição hindu — «as lokas (Mitologia Hindu) também podem ser chamadas de genos (Mitologia Grega)» —, e o glossário de B031 dá o exemplo canônico dessa equivalência: o geno, ou loka, de Zeus é o Olimpo. O verbete «Lokas» do mesmo glossário arrola ainda Asgard (loka de Odin), os mundos da Mitologia Nórdica ligados a Yggdrasil e os mundos da Kabalah.</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136, p. 139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«Genos: São as “moradas” do universo antimaterial.» — B031 p. 136 · `original.txt` L3493 · glossário, verbete «Genos» — sentença completa intra-linha.</w:t>
      </w:r>
    </w:p>
    <w:p>
      <w:pPr>
        <w:ind w:left="397"/>
      </w:pPr>
      <w:r>
        <w:rPr>
          <w:i/>
          <w:color w:val="555555"/>
        </w:rPr>
        <w:t>«realidades alternativas onde vivem os anjos clones e demos.» — B031 p. 136 · `original.txt` L3494 · mesmo verbete — fecho intra-linha da sentença sobre a natureza dos genos.</w:t>
      </w:r>
    </w:p>
    <w:p>
      <w:pPr>
        <w:ind w:left="397"/>
      </w:pPr>
      <w:r>
        <w:rPr>
          <w:i/>
          <w:color w:val="555555"/>
        </w:rPr>
        <w:t>«Também podem ser denominadas como genos (Mitologia Grega).» — B031 p. 139 · `original.txt` L3590 · glossário, verbete «Lokas» — a equivalência genos × lokas.</w:t>
      </w:r>
    </w:p>
    <w:p>
      <w:pPr>
        <w:pStyle w:val="Heading2"/>
      </w:pPr>
      <w:r>
        <w:rPr>
          <w:color w:val="1F3A5F"/>
        </w:rPr>
        <w:t>Observações</w:t>
      </w:r>
    </w:p>
    <w:p>
      <w:pPr>
        <w:pStyle w:val="ListBullet"/>
      </w:pPr>
      <w:r>
        <w:t>Genos e lokas são, no glossário de B031, dois nomes para a mesma realidade (grego e sânscrito); o cadastro os mantém como códigos distintos (RC-066 e RC-077) e esta ficha não os funde.</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Lokas — RC-077</w:t>
      </w:r>
    </w:p>
    <w:p>
      <w:pPr>
        <w:pStyle w:val="Heading2"/>
      </w:pPr>
      <w:r>
        <w:rPr>
          <w:color w:val="1F3A5F"/>
        </w:rPr>
        <w:t>Definição Sintética</w:t>
      </w:r>
    </w:p>
    <w:p>
      <w:pPr>
        <w:spacing w:after="80"/>
      </w:pPr>
      <w:r>
        <w:t>Em sânscrito, «mundo, morada, lugar ou plano de existência»: as lokas são as «moradas» do universo antimaterial, dimensões ou realidades alternativas onde vivem os anjos clones e os demos, e que também podem ser chamadas de genos na tradição grega. B031 arrola como exemplos o Olimpo (loka de Zeus), Asgard (loka de Odin), cada um dos mundos da Mitologia Nórdica ligados a Yggdrasil e os mundos da Kabalah. É nelas — e não apenas em orbes ou planetas do nosso universo — que habitam, em erraticidade, os espíritos desencarnados ou «desimantados» (ver RC-100).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B021, B060.</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inclui</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139,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«Lokas são as “moradas” do universo antimaterial.» — B031 p. 139 · `original.txt` L3588 · glossário, verbete «Lokas» — sentença completa intra-linha.</w:t>
      </w:r>
    </w:p>
    <w:p>
      <w:pPr>
        <w:ind w:left="397"/>
      </w:pPr>
      <w:r>
        <w:rPr>
          <w:i/>
          <w:color w:val="555555"/>
        </w:rPr>
        <w:t>«dimensões ou realidades alternativas onde vivem os anjos clones e demos.» — B031 p. 139 · `original.txt` L3589 · mesmo verbete — fecho intra-linha da sentença seguinte.</w:t>
      </w:r>
    </w:p>
    <w:p>
      <w:pPr>
        <w:ind w:left="397"/>
      </w:pPr>
      <w:r>
        <w:rPr>
          <w:i/>
          <w:color w:val="555555"/>
        </w:rPr>
        <w:t>«podem ser chamadas de genos (Mitologia Grega).» — B031 p. 28 · `original.txt` L635 · seção «Lokas» — a equivalência com os genos.</w:t>
      </w:r>
    </w:p>
    <w:p>
      <w:pPr>
        <w:pStyle w:val="Heading2"/>
      </w:pPr>
      <w:r>
        <w:rPr>
          <w:color w:val="1F3A5F"/>
        </w:rPr>
        <w:t>Observações</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Orbum — RC-085</w:t>
      </w:r>
    </w:p>
    <w:p>
      <w:pPr>
        <w:pStyle w:val="Heading2"/>
      </w:pPr>
      <w:r>
        <w:rPr>
          <w:color w:val="1F3A5F"/>
        </w:rPr>
        <w:t>Definição Sintética</w:t>
      </w:r>
    </w:p>
    <w:p>
      <w:pPr>
        <w:spacing w:after="80"/>
      </w:pPr>
      <w:r>
        <w:t>Planeta do Sistema de Capela — um magnífico sol cuja luz gasta cerca de 42 anos para chegar à face da Terra, e que B031 arrola entre os planetas do sistema ao lado de Zian (ou Zion), Dan, Arden e Mollen — e sede da governadoria de Sophia: conforme B057, é a sede da governadoria e sede de trabalho de Administradores deste universo, onde se congregavam os seres mais evoluídos dos sistemas que compunham, numa analogia com a situação governamental terrena, os «ministérios» dos diversos campos específicos da vida cósmica; eram o «primeiro escalão», não mais que duas dezenas de milhões de entidades, ficando nos outros planetas do mesmo sistema as partes de apoio, execução e controle operativo. Foi em Orbum que se reuniu, há cerca de 3 milhões de anos, o conclave que escolheu a Terra para o Projeto Planeta Azul (B031; ver RC-090).</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B042, B057, P2020-08-08.</w:t>
      </w:r>
    </w:p>
    <w:p>
      <w:pPr>
        <w:pStyle w:val="ListBullet"/>
      </w:pPr>
      <w:r>
        <w:t>Arestas em `RELACOES`: 2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ocorre-em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B057</w:t>
            </w:r>
          </w:p>
        </w:tc>
        <w:tc>
          <w:tcPr>
            <w:tcW w:type="dxa" w:w="2436"/>
          </w:tcPr>
          <w:p>
            <w:pPr>
              <w:spacing w:after="0"/>
            </w:pPr>
            <w:r>
              <w:rPr>
                <w:sz w:val="18"/>
              </w:rPr>
              <w:t>Os Livros de Yel Luzbel 1: A Revolta do Anjo Decaído</w:t>
            </w:r>
          </w:p>
        </w:tc>
        <w:tc>
          <w:tcPr>
            <w:tcW w:type="dxa" w:w="2436"/>
          </w:tcPr>
          <w:p>
            <w:pPr>
              <w:spacing w:after="0"/>
            </w:pPr>
            <w:r>
              <w:rPr>
                <w:sz w:val="18"/>
              </w:rPr>
              <w:t>p. 25</w:t>
            </w:r>
          </w:p>
        </w:tc>
        <w:tc>
          <w:tcPr>
            <w:tcW w:type="dxa" w:w="2436"/>
          </w:tcPr>
          <w:p>
            <w:pPr>
              <w:spacing w:after="0"/>
            </w:pPr>
            <w:r>
              <w:rPr>
                <w:sz w:val="18"/>
              </w:rPr>
              <w:t>livro; citação intra-linha</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 planeta Orbum, no sistema de Capela, é a sede da governadoria e sede de trabalho de Administradores deste universo.» — B057 p. 25 · `original.txt` L990 · nota de rodapé 2 — sentença completa intra-linha.</w:t>
      </w:r>
    </w:p>
    <w:p>
      <w:pPr>
        <w:ind w:left="397"/>
      </w:pPr>
      <w:r>
        <w:rPr>
          <w:i/>
          <w:color w:val="555555"/>
        </w:rPr>
        <w:t>«Orbum, Zian (ou Zion), Dan, Arden, Mollen, entre outros.» — B031 p. 128 · `original.txt` L3237 · glossário, verbete «Capela» — fecho intra-linha da relação dos planetas do sistema.</w:t>
      </w:r>
    </w:p>
    <w:p>
      <w:pPr>
        <w:ind w:left="397"/>
      </w:pPr>
      <w:r>
        <w:rPr>
          <w:i/>
          <w:color w:val="555555"/>
        </w:rPr>
        <w:t>«que formavam o que poderíamos chamar de “primeiro escalão”.» — B057 p. 25 · `original.txt` L993 · mesma nota — fecho intra-linha da sentença iniciada em L992 («Eram, na verdade, os seres»).</w:t>
      </w:r>
    </w:p>
    <w:p>
      <w:pPr>
        <w:pStyle w:val="Heading2"/>
      </w:pPr>
      <w:r>
        <w:rPr>
          <w:color w:val="1F3A5F"/>
        </w:rPr>
        <w:t>Observações</w:t>
      </w:r>
    </w:p>
    <w:p>
      <w:pPr>
        <w:pStyle w:val="ListBullet"/>
      </w:pPr>
      <w:r>
        <w:t>B042 consta do cadastro como fonte e a busca de 13/09/2026 não localizou nele o nome do planeta com grafia canônica — nenhuma citação foi extraída dessa obra.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Planeta Azul — RC-090</w:t>
      </w:r>
    </w:p>
    <w:p>
      <w:pPr>
        <w:pStyle w:val="Heading2"/>
      </w:pPr>
      <w:r>
        <w:rPr>
          <w:color w:val="1F3A5F"/>
        </w:rPr>
        <w:t>Definição Sintética</w:t>
      </w:r>
    </w:p>
    <w:p>
      <w:pPr>
        <w:spacing w:after="80"/>
      </w:pPr>
      <w:r>
        <w:t>A empreitada cósmica que elegeu a Terra como portal: há cerca de 3 milhões de anos, reunidos em conclave no planeta Orbum (Sistema de Capela, sede da governadoria de Sophia), seres dos Sistemas de Vega, Tau Ceti, Próxima Centauri, Epsilon Eridani e muitos outros escolheram o planeta para ser «um importante portal cósmico como base de saída da nossa galáxia para outras» — o primeiro da história universal com capacidade de religar este universo ao universo paralelo. Liderado por Sophia, o projeto teve início com a chegada das primeiras levas de seres extraterrestres, que não se adaptaram à natureza terrestre; há cerca de 1 milhão e 950 mil anos, quatro grupos distintos com 40 mil humanoides (de 60 cm a 2 m de altura, pele acinzentada) foram trazidos; há cerca de 800 mil anos começaram a chegar seres de outros planetas, que formaram colônias comunitárias e se mostraram aptos a edificar o portal intergaláctico e interuniversal. Na trilogia «Queda e Ascensão Espiritual» (B003/B026) os mesmos eventos são narrados em primeira mão pelo autor.</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B003, B026.</w:t>
      </w:r>
    </w:p>
    <w:p>
      <w:pPr>
        <w:pStyle w:val="ListBullet"/>
      </w:pPr>
      <w:r>
        <w:t>Arestas em `RELACOES`: 2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 destinação-de</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 é-um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142, p. 77</w:t>
            </w:r>
          </w:p>
        </w:tc>
        <w:tc>
          <w:tcPr>
            <w:tcW w:type="dxa" w:w="2436"/>
          </w:tcPr>
          <w:p>
            <w:pPr>
              <w:spacing w:after="0"/>
            </w:pPr>
            <w:r>
              <w:rPr>
                <w:sz w:val="18"/>
              </w:rPr>
              <w:t>livro; citação intra-linha</w:t>
            </w:r>
          </w:p>
        </w:tc>
      </w:tr>
      <w:tr>
        <w:tc>
          <w:tcPr>
            <w:tcW w:type="dxa" w:w="2436"/>
          </w:tcPr>
          <w:p>
            <w:pPr>
              <w:spacing w:after="0"/>
            </w:pPr>
            <w:r>
              <w:rPr>
                <w:sz w:val="18"/>
              </w:rPr>
              <w:t>B003</w:t>
            </w:r>
          </w:p>
        </w:tc>
        <w:tc>
          <w:tcPr>
            <w:tcW w:type="dxa" w:w="2436"/>
          </w:tcPr>
          <w:p>
            <w:pPr>
              <w:spacing w:after="0"/>
            </w:pPr>
            <w:r>
              <w:rPr>
                <w:sz w:val="18"/>
              </w:rPr>
              <w:t>Reintegração Cósmica</w:t>
            </w:r>
          </w:p>
        </w:tc>
        <w:tc>
          <w:tcPr>
            <w:tcW w:type="dxa" w:w="2436"/>
          </w:tcPr>
          <w:p>
            <w:pPr>
              <w:spacing w:after="0"/>
            </w:pPr>
            <w:r>
              <w:rPr>
                <w:sz w:val="18"/>
              </w:rPr>
              <w:t>p. 12</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«Projeto Planeta Azul: Foi a empreitada que começou a ocorrer na» — B031 p. 142 · `original.txt` L3692 · glossário, verbete «Projeto Planeta Azul» — início da sentença (continua em L3693).</w:t>
      </w:r>
    </w:p>
    <w:p>
      <w:pPr>
        <w:ind w:left="397"/>
      </w:pPr>
      <w:r>
        <w:rPr>
          <w:i/>
          <w:color w:val="555555"/>
        </w:rPr>
        <w:t>«religar este universo ao universo paralelo.» — B031 p. 77 · `original.txt` L1846 · seção «O PROJETO PLANETA AZUL» — fecho intra-linha da sentença sobre a capacidade do portal.</w:t>
      </w:r>
    </w:p>
    <w:p>
      <w:pPr>
        <w:ind w:left="397"/>
      </w:pPr>
      <w:r>
        <w:rPr>
          <w:i/>
          <w:color w:val="555555"/>
        </w:rPr>
        <w:t>«prontos para realizar o Projeto Planeta Azul.» — B031 p. 77 · `original.txt` L1865 · mesma seção — fecho intra-linha da sentença sobre os cidadãos cósmicos imigrados.</w:t>
      </w:r>
    </w:p>
    <w:p>
      <w:pPr>
        <w:ind w:left="397"/>
      </w:pPr>
      <w:r>
        <w:rPr>
          <w:i/>
          <w:color w:val="555555"/>
        </w:rPr>
        <w:t>«direta ou indiretamente, com o projeto planeta azul.» — B003 p. 12 · `original.txt` L477 · abertura da trilogia — fecho intra-linha da sentença sobre os seres envolvidos.</w:t>
      </w:r>
    </w:p>
    <w:p>
      <w:pPr>
        <w:pStyle w:val="Heading2"/>
      </w:pPr>
      <w:r>
        <w:rPr>
          <w:color w:val="1F3A5F"/>
        </w:rPr>
        <w:t>Observações</w:t>
      </w:r>
    </w:p>
    <w:p>
      <w:pPr>
        <w:pStyle w:val="ListBullet"/>
      </w:pPr>
      <w:r>
        <w:t>B026 comparece no cadastro como fonte e a busca de 13/09/2026 localizou lá ocorrências de «planeta azul» (L4487: «A única e última opção para os rebelados era o planeta azul .» — o reduto final da rebelião, não o conclave de Orbum); não foi usada como citação-chave para não confundir os dois eventos. O trecho fica declarado aqui, com a grafia do STT preservada (espaço antes do ponto).</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Extrafísicos — RC-097</w:t>
      </w:r>
    </w:p>
    <w:p>
      <w:pPr>
        <w:pStyle w:val="Heading2"/>
      </w:pPr>
      <w:r>
        <w:rPr>
          <w:color w:val="1F3A5F"/>
        </w:rPr>
        <w:t>Definição Sintética</w:t>
      </w:r>
    </w:p>
    <w:p>
      <w:pPr>
        <w:spacing w:after="80"/>
      </w:pPr>
      <w:r>
        <w:t>Os habitantes do universo paralelo (antimaterial): não são físicos — e muito menos biológicos — como a nossa ótica humana entende, têm corpos «eletromagnetizados e plasmáticos» e vidas que duram bilhões de anos. Classificam-se em dois tipos: os anjos clones (RC-019) e os demos («demônios» ou «daemon», RC-049). Enquanto os portais entre os dois universos ainda estavam abertos, muitos transitavam entre lá e cá, e alguns vieram para o nosso universo com suas tecnologias e naves pelos «buracos de minhoca». Entre os seres extrafísicos estão o próprio Brahma/Javé (o Criador), bem como Vishnu e Shiva; entre os anjos clones, as famílias Aya e Aye (RC-031 — os Arcanjos Gabriel, Rafael, Miguel da tradição judaico-cristã); entre os demos, os seres mitológicos ou «Seres dos Portais» (RC-241). A cultura humana passou a conhecê-los como «deuses» ou seres lendários, quando na mesma medida são seres extrafísicos que habitam realidades paralelas à nossa; a maioria ainda vive no universo paralelo e já não transita para cá, devido ao fechamento dos portais e aos efeitos da entropia.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P2020-04-04.</w:t>
      </w:r>
    </w:p>
    <w:p>
      <w:pPr>
        <w:pStyle w:val="ListBullet"/>
      </w:pPr>
      <w:r>
        <w:t>Arestas em `RELACOES`: 0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29</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«Os seres extrafísicos e antimateriais são os que habitam o universo» — B031 p. 29 · `original.txt` L664 · seção «Seres Extrafísicos» — início da sentença (continua em L665).</w:t>
      </w:r>
    </w:p>
    <w:p>
      <w:pPr>
        <w:ind w:left="397"/>
      </w:pPr>
      <w:r>
        <w:rPr>
          <w:i/>
          <w:color w:val="555555"/>
        </w:rPr>
        <w:t>«paralelo.» — B031 p. 29 · `original.txt` L665 · fecho intra-linha da mesma sentença.</w:t>
      </w:r>
    </w:p>
    <w:p>
      <w:pPr>
        <w:ind w:left="397"/>
      </w:pPr>
      <w:r>
        <w:rPr>
          <w:i/>
          <w:color w:val="555555"/>
        </w:rPr>
        <w:t>«Seus corpos são “eletromagnetizados e plasmáticos” e» — B031 p. 29 · `original.txt` L666 · mesma seção — início da sentença sobre o corpo (continua em L667).</w:t>
      </w:r>
    </w:p>
    <w:p>
      <w:pPr>
        <w:ind w:left="397"/>
      </w:pPr>
      <w:r>
        <w:rPr>
          <w:i/>
          <w:color w:val="555555"/>
        </w:rPr>
        <w:t>«suas vidas duram bilhões de anos.» — B031 p. 29 · `original.txt` L667 · fecho intra-linha da mesma sentença.</w:t>
      </w:r>
    </w:p>
    <w:p>
      <w:pPr>
        <w:ind w:left="397"/>
      </w:pPr>
      <w:r>
        <w:rPr>
          <w:i/>
          <w:color w:val="555555"/>
        </w:rPr>
        <w:t>«estão o próprio Brahma/Javé (o Criador), bem como Vishnu e Shiva.» — B031 p. 29 · `original.txt` L673 · mesma seção — fecho intra-linha da sentença iniciada em L672 («Entre os seres extrafísicos»).</w:t>
      </w:r>
    </w:p>
    <w:p>
      <w:pPr>
        <w:pStyle w:val="Heading2"/>
      </w:pPr>
      <w:r>
        <w:rPr>
          <w:color w:val="1F3A5F"/>
        </w:rPr>
        <w:t>Observações</w:t>
      </w:r>
    </w:p>
    <w:p>
      <w:pPr>
        <w:pStyle w:val="ListBullet"/>
      </w:pPr>
      <w:r>
        <w:t>Cinco fragmentos de três sentenças fraturadas pelo hard-wrap: a seção é um bloco corrido de L663 a L686 e nenhuma das suas sentenças cabe inteira numa linha de B031.</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Seres Espirituais — RC-100</w:t>
      </w:r>
    </w:p>
    <w:p>
      <w:pPr>
        <w:pStyle w:val="Heading2"/>
      </w:pPr>
      <w:r>
        <w:rPr>
          <w:color w:val="1F3A5F"/>
        </w:rPr>
        <w:t>Definição Sintética</w:t>
      </w:r>
    </w:p>
    <w:p>
      <w:pPr>
        <w:spacing w:after="80"/>
      </w:pPr>
      <w:r>
        <w:t>Categoria que B031 reparte em dois regimes. De um lado, os seres espirituais que existem dentro dos níveis da Espiritualidade Superior (RC-059), Operacional (RC-060) e Laboratorial, mais relacionados às Divindades ou Divindades Co-Criadoras e mais próximos ao Círculo da Perfeição ou ao Deus Incognoscível, e que estariam fora da «blindagem» da Criação de Brahma. De outro, os seres espirituais que habitam o nosso universo material — os quais «nada mais são que os espíritos desencarnados» em erraticidade, ligados a cada orbe ou planeta entre as bilhões de galáxias, ainda ligados a karmas (em sua grande maioria) e necessitados de reencarnar. Há ainda os que, já sem karmas, poderiam estar na Espiritualidade Superior mas permanecem aqui em missões voluntárias de auxílio aos irmãos desencarnados e encarnados menos favorecidos. A seção «Espíritos» do mesmo glossário trata do subconjunto em erraticidade.</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B031, B024, B006, P2025-03-15, P2025-02-16, P2025-02-15, P2024-11-30, P2024-11-09.</w:t>
      </w:r>
    </w:p>
    <w:p>
      <w:pPr>
        <w:pStyle w:val="ListBullet"/>
      </w:pPr>
      <w:r>
        <w:t>Arestas em `RELACOES`: 4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 é-um</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acompanha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envolve</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145, p. 28</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«Seres Espirituais: Existem seres espirituais dentro e fora do universo» — B031 p. 145 · `original.txt` L3798 · glossário, verbete «Seres Espirituais» — início da sentença (continua em L3799).</w:t>
      </w:r>
    </w:p>
    <w:p>
      <w:pPr>
        <w:ind w:left="397"/>
      </w:pPr>
      <w:r>
        <w:rPr>
          <w:i/>
          <w:color w:val="555555"/>
        </w:rPr>
        <w:t>«São os seres espirituais que existem dentro dos níveis da» — B031 p. 28 · `original.txt` L640 · seção «Seres Espirituais» — início da sentença (continua em L641).</w:t>
      </w:r>
    </w:p>
    <w:p>
      <w:pPr>
        <w:ind w:left="397"/>
      </w:pPr>
      <w:r>
        <w:rPr>
          <w:i/>
          <w:color w:val="555555"/>
        </w:rPr>
        <w:t>«Espiritualidade Superior, Operacional e Laboratorial, e que estariam mais» — B031 p. 28 · `original.txt` L641 · fecho parcial intra-linha da mesma sentença (continua em L642–644).</w:t>
      </w:r>
    </w:p>
    <w:p>
      <w:pPr>
        <w:ind w:left="397"/>
      </w:pPr>
      <w:r>
        <w:rPr>
          <w:i/>
          <w:color w:val="555555"/>
        </w:rPr>
        <w:t>«nada mais são que os espíritos desencarnados, que» — B031 p. 145 · `original.txt` L3803 · glossário — início da sentença de identificação (continua em L3804–3805).</w:t>
      </w:r>
    </w:p>
    <w:p>
      <w:pPr>
        <w:ind w:left="397"/>
      </w:pPr>
      <w:r>
        <w:rPr>
          <w:i/>
          <w:color w:val="555555"/>
        </w:rPr>
        <w:t>«galáxias desse universo.» — B031 p. 145 · `original.txt` L3805 · fecho intra-linha da mesma sentença.</w:t>
      </w:r>
    </w:p>
    <w:p>
      <w:pPr>
        <w:pStyle w:val="Heading2"/>
      </w:pPr>
      <w:r>
        <w:rPr>
          <w:color w:val="1F3A5F"/>
        </w:rPr>
        <w:t>Observações</w:t>
      </w:r>
    </w:p>
    <w:p>
      <w:pPr>
        <w:pStyle w:val="ListBullet"/>
      </w:pPr>
      <w:r>
        <w:t>Cinco fragmentos de três sentenças fraturadas pelo hard-wrap; a sentença da erraticidade vive em L3803–L3805 e a dos níveis da Espiritualidade, em L640–L644.</w:t>
      </w:r>
    </w:p>
    <w:p>
      <w:pPr>
        <w:pStyle w:val="ListBullet"/>
      </w:pPr>
      <w:r>
        <w:t>B024 e B006 constam do cadastro como fontes e a busca de 13/09/2026 localizou nelas ocorrências do sintagma, mas sempre em outro emprego («irmãos espirituais», «guias espirituais», «obras espirituais») — nenhuma delas define o termo, e por isso não foram usadas como citação-chave.</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Universo Paralelo — RC-108</w:t>
      </w:r>
    </w:p>
    <w:p>
      <w:pPr>
        <w:pStyle w:val="Heading2"/>
      </w:pPr>
      <w:r>
        <w:rPr>
          <w:color w:val="1F3A5F"/>
        </w:rPr>
        <w:t>Definição Sintética</w:t>
      </w:r>
    </w:p>
    <w:p>
      <w:pPr>
        <w:spacing w:after="80"/>
      </w:pPr>
      <w:r>
        <w:t>Segundo o glossário de B031, é o universo paralelo ao nosso, chamado de Universo Antimaterial (ou Brahmaloka), que começou a se formar no mesmo instante que o universo material. O verbete «Universo Antimaterial» do mesmo glossário (ver RC-106) acrescenta que ele é formado por genos ou lokas onde vivem os seres extrafísicos — Brahma, Vishnu, Shiva, anjos clones, demos, seres dos portais —, e a entrada «Perpérion» estima que somente a partir daquela dimensão-laboratório foram criados mais de 3.500 universos, estando o nosso e o universo paralelo entre eles. Na pregação oral, é o universo das inteligências não humanas «sobejamente descrito pelas mitologias, mas estranhamente oculto e escondido para nós, humanos modernos».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B031, P2025-02-16, P2024-11-30, P2024-11-09, P2024-08-03.</w:t>
      </w:r>
    </w:p>
    <w:p>
      <w:pPr>
        <w:pStyle w:val="ListBullet"/>
      </w:pPr>
      <w:r>
        <w:t>Arestas em `RELACOES`: 3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variação</w:t>
            </w:r>
          </w:p>
        </w:tc>
      </w:tr>
      <w:tr>
        <w:tc>
          <w:tcPr>
            <w:tcW w:type="dxa" w:w="3249"/>
          </w:tcPr>
          <w:p>
            <w:pPr>
              <w:spacing w:after="0"/>
            </w:pPr>
            <w:r>
              <w:rPr>
                <w:sz w:val="18"/>
              </w:rPr>
              <w:t>Pendências Existenciais em Realidades Paralelas</w:t>
            </w:r>
          </w:p>
        </w:tc>
        <w:tc>
          <w:tcPr>
            <w:tcW w:type="dxa" w:w="3249"/>
          </w:tcPr>
          <w:p>
            <w:pPr>
              <w:spacing w:after="0"/>
            </w:pPr>
            <w:r>
              <w:rPr>
                <w:sz w:val="18"/>
              </w:rPr>
              <w:t>RC-744</w:t>
            </w:r>
          </w:p>
        </w:tc>
        <w:tc>
          <w:tcPr>
            <w:tcW w:type="dxa" w:w="3249"/>
          </w:tcPr>
          <w:p>
            <w:pPr>
              <w:spacing w:after="0"/>
            </w:pPr>
            <w:r>
              <w:rPr>
                <w:sz w:val="18"/>
              </w:rPr>
              <w:t>← persiste-em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B031</w:t>
            </w:r>
          </w:p>
        </w:tc>
        <w:tc>
          <w:tcPr>
            <w:tcW w:type="dxa" w:w="2436"/>
          </w:tcPr>
          <w:p>
            <w:pPr>
              <w:spacing w:after="0"/>
            </w:pPr>
            <w:r>
              <w:rPr>
                <w:sz w:val="18"/>
              </w:rPr>
              <w:t>Painéis Emergentes da Revelação Cósmica</w:t>
            </w:r>
          </w:p>
        </w:tc>
        <w:tc>
          <w:tcPr>
            <w:tcW w:type="dxa" w:w="2436"/>
          </w:tcPr>
          <w:p>
            <w:pPr>
              <w:spacing w:after="0"/>
            </w:pPr>
            <w:r>
              <w:rPr>
                <w:sz w:val="18"/>
              </w:rPr>
              <w:t>p. 147</w:t>
            </w:r>
          </w:p>
        </w:tc>
        <w:tc>
          <w:tcPr>
            <w:tcW w:type="dxa" w:w="2436"/>
          </w:tcPr>
          <w:p>
            <w:pPr>
              <w:spacing w:after="0"/>
            </w:pPr>
            <w:r>
              <w:rPr>
                <w:sz w:val="18"/>
              </w:rPr>
              <w:t>livro; citação intra-linha</w:t>
            </w:r>
          </w:p>
        </w:tc>
      </w:tr>
      <w:tr>
        <w:tc>
          <w:tcPr>
            <w:tcW w:type="dxa" w:w="2436"/>
          </w:tcPr>
          <w:p>
            <w:pPr>
              <w:spacing w:after="0"/>
            </w:pPr>
            <w:r>
              <w:rPr>
                <w:sz w:val="18"/>
              </w:rPr>
              <w:t>P2025-02-16</w:t>
            </w:r>
          </w:p>
        </w:tc>
        <w:tc>
          <w:tcPr>
            <w:tcW w:type="dxa" w:w="2436"/>
          </w:tcPr>
          <w:p>
            <w:pPr>
              <w:spacing w:after="0"/>
            </w:pPr>
            <w:r>
              <w:rPr>
                <w:sz w:val="18"/>
              </w:rPr>
              <w:t>P2025-02-16</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«Universo Paralelo: É o universo paralelo ao nosso, chamado de» — B031 p. 147 · `original.txt` L3886 · glossário, verbete «Universo Paralelo» — início da sentença (continua em L3887).</w:t>
      </w:r>
    </w:p>
    <w:p>
      <w:pPr>
        <w:ind w:left="397"/>
      </w:pPr>
      <w:r>
        <w:rPr>
          <w:i/>
          <w:color w:val="555555"/>
        </w:rPr>
        <w:t>«Universo Antimaterial (ou Brahmaloka), que começou a se formar no» — B031 p. 147 · `original.txt` L3887 · mesma sentença, fraturada pelo hard-wrap.</w:t>
      </w:r>
    </w:p>
    <w:p>
      <w:pPr>
        <w:ind w:left="397"/>
      </w:pPr>
      <w:r>
        <w:rPr>
          <w:i/>
          <w:color w:val="555555"/>
        </w:rPr>
        <w:t>«mesmo instante que o universo material.» — B031 p. 147 · `original.txt` L3888 · fecho intra-linha da mesma sentença.</w:t>
      </w:r>
    </w:p>
    <w:p>
      <w:pPr>
        <w:ind w:left="397"/>
      </w:pPr>
      <w:r>
        <w:rPr>
          <w:i/>
          <w:color w:val="555555"/>
        </w:rPr>
        <w:t>«Ele estava lidando com diversas formas de inteligência, de estirpes ou de espécies não humanas que vivem num universo paralelo ao nosso, sobejamente descrito pelas mitologias, mas estranhamente oculto e escondido para nós, humanos modernos.» — P2025-02-16 · `original.txt` L100 · palestra (STT) — sentença completa; o sujeito é Krishna Dwaipayana (Vyasa) e a sua demanda de explicação.</w:t>
      </w:r>
    </w:p>
    <w:p>
      <w:pPr>
        <w:pStyle w:val="Heading2"/>
      </w:pPr>
      <w:r>
        <w:rPr>
          <w:color w:val="1F3A5F"/>
        </w:rPr>
        <w:t>Observações</w:t>
      </w:r>
    </w:p>
    <w:p>
      <w:pPr>
        <w:pStyle w:val="ListBullet"/>
      </w:pPr>
      <w:r>
        <w:t>A composição do universo paralelo (genos/lokas e os seres que neles vivem) está declarada no verbete «Universo Antimaterial» do mesmo glossário — isto é, sob RC-106, e não sob este código; a ficha não a reivindoca como definição própria.</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Deucalião — RC-304</w:t>
      </w:r>
    </w:p>
    <w:p>
      <w:pPr>
        <w:pStyle w:val="Heading2"/>
      </w:pPr>
      <w:r>
        <w:rPr>
          <w:color w:val="1F3A5F"/>
        </w:rPr>
        <w:t>Definição Sintética</w:t>
      </w:r>
    </w:p>
    <w:p>
      <w:pPr>
        <w:spacing w:after="80"/>
      </w:pPr>
      <w:r>
        <w:t>Figura da mitologia grega relida pelas Revelações Cósmicas como produto de manipulação genética demo: filho de Prometeu (RC-301) com Pirra (RC-303) — ela própria gerada da mistura dos CFDs de Kalil Kadmon com Epimeteu, um «produto de manipulação genética demo» —, uniu-se a Pirra e com ela gerou a descendência de que, segundo a fonte oral, saíram os povos Eóleo, Aqueu, Dório e Jônico, fundadores dos povos gregos. No relato de B021, Prometeu gerou Deucalião ao observar a beleza de Pirra, com o intuito de irritar Zeus; quando o «Rei dos Deuses» soube que os dois procriavam sexuadamente, os demos prestaram atenção naquele tipo de relacionamento e passaram a reproduzir o processo, na busca de novas soluções para a genética problemática deles.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(o piloto dos 8 suspensos com V chancelado que caem na família B) — e executada na unidade U41, na esteira do precedente U30 (RC-367/RC-537). Conteúdo restrito ao que a fonte sustém.</w:t>
      </w:r>
    </w:p>
    <w:p>
      <w:pPr>
        <w:pStyle w:val="Heading2"/>
      </w:pPr>
      <w:r>
        <w:rPr>
          <w:color w:val="1F3A5F"/>
        </w:rPr>
        <w:t>Escopo e evidência</w:t>
      </w:r>
    </w:p>
    <w:p>
      <w:pPr>
        <w:pStyle w:val="ListBullet"/>
      </w:pPr>
      <w:r>
        <w:t>Fontes declaradas no cadastro: B021, P2024-11-09.</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B021</w:t>
            </w:r>
          </w:p>
        </w:tc>
        <w:tc>
          <w:tcPr>
            <w:tcW w:type="dxa" w:w="2436"/>
          </w:tcPr>
          <w:p>
            <w:pPr>
              <w:spacing w:after="0"/>
            </w:pPr>
            <w:r>
              <w:rPr>
                <w:sz w:val="18"/>
              </w:rPr>
              <w:t>Tempos Difíceis no Olimpo</w:t>
            </w:r>
          </w:p>
        </w:tc>
        <w:tc>
          <w:tcPr>
            <w:tcW w:type="dxa" w:w="2436"/>
          </w:tcPr>
          <w:p>
            <w:pPr>
              <w:spacing w:after="0"/>
            </w:pPr>
            <w:r>
              <w:rPr>
                <w:sz w:val="18"/>
              </w:rPr>
              <w:t>p. 109, p. 131</w:t>
            </w:r>
          </w:p>
        </w:tc>
        <w:tc>
          <w:tcPr>
            <w:tcW w:type="dxa" w:w="2436"/>
          </w:tcPr>
          <w:p>
            <w:pPr>
              <w:spacing w:after="0"/>
            </w:pPr>
            <w:r>
              <w:rPr>
                <w:sz w:val="18"/>
              </w:rPr>
              <w:t>livro; citação intra-linha</w:t>
            </w:r>
          </w:p>
        </w:tc>
      </w:tr>
      <w:tr>
        <w:tc>
          <w:tcPr>
            <w:tcW w:type="dxa" w:w="2436"/>
          </w:tcPr>
          <w:p>
            <w:pPr>
              <w:spacing w:after="0"/>
            </w:pPr>
            <w:r>
              <w:rPr>
                <w:sz w:val="18"/>
              </w:rPr>
              <w:t>P2024-11-09</w:t>
            </w:r>
          </w:p>
        </w:tc>
        <w:tc>
          <w:tcPr>
            <w:tcW w:type="dxa" w:w="2436"/>
          </w:tcPr>
          <w:p>
            <w:pPr>
              <w:spacing w:after="0"/>
            </w:pPr>
            <w:r>
              <w:rPr>
                <w:sz w:val="18"/>
              </w:rPr>
              <w:t>Abismo — consciência cósmica</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«Observando a beleza de Pirra, Prometeu gerou um filho chamado» — B021 p. 109 · `original.txt` L4434 · início da sentença de origem (continua em L4435).</w:t>
      </w:r>
    </w:p>
    <w:p>
      <w:pPr>
        <w:ind w:left="397"/>
      </w:pPr>
      <w:r>
        <w:rPr>
          <w:i/>
          <w:color w:val="555555"/>
        </w:rPr>
        <w:t>«“Deucalião”, que se uniu a ela.» — B021 p. 109 · `original.txt` L4435 · fecho intra-linha da mesma sentença.</w:t>
      </w:r>
    </w:p>
    <w:p>
      <w:pPr>
        <w:ind w:left="397"/>
      </w:pPr>
      <w:r>
        <w:rPr>
          <w:i/>
          <w:color w:val="555555"/>
        </w:rPr>
        <w:t>«“produto de manipulação genética demo”» — B021 p. 109 · `original.txt` L4433 · classificação de Pirra, mãe da linhagem — expressão completa intra-linha.</w:t>
      </w:r>
    </w:p>
    <w:p>
      <w:pPr>
        <w:ind w:left="397"/>
      </w:pPr>
      <w:r>
        <w:rPr>
          <w:i/>
          <w:color w:val="555555"/>
        </w:rPr>
        <w:t>«— Prometeu, seu filho Deucalião está com Pirra, e eles tiveram filhos.» — B021 p. 131 · `original.txt` L5259 · fala de Zeus a Prometeu libertado — sentença completa intra-linha.</w:t>
      </w:r>
    </w:p>
    <w:p>
      <w:pPr>
        <w:ind w:left="397"/>
      </w:pPr>
      <w:r>
        <w:rPr>
          <w:i/>
          <w:color w:val="555555"/>
        </w:rPr>
        <w:t>«Irmão de Epimeteu, que foi o consorte de Pandora, teve Deucalião como filho.» — P2024-11-09 · `original.txt` L85 · palestra (STT) — sentença completa; a transcrição degrada o nome na frase seguinte («Decalião»).</w:t>
      </w:r>
    </w:p>
    <w:p>
      <w:pPr>
        <w:pStyle w:val="Heading2"/>
      </w:pPr>
      <w:r>
        <w:rPr>
          <w:color w:val="1F3A5F"/>
        </w:rPr>
        <w:t>Observações</w:t>
      </w:r>
    </w:p>
    <w:p>
      <w:pPr>
        <w:pStyle w:val="ListBullet"/>
      </w:pPr>
      <w:r>
        <w:t>Em P2024-11-09 todo o corpo da palestra é uma única linha (STT sem quebras), donde a citação intra-linha ser a sentença inteira; a degradação «Decalião» da frase imediata está preservada na fonte e não foi corrigida aqui (STT nunca é renomeado por conveniência).</w:t>
      </w:r>
    </w:p>
    <w:p>
      <w:pPr>
        <w:pStyle w:val="ListBullet"/>
      </w:pPr>
      <w:r>
        <w:rPr>
          <w:b/>
        </w:rPr>
        <w:t>Fratura de hard-wrap:</w:t>
      </w:r>
      <w:r>
        <w:t xml:space="preserve"> a edição digital das fontes quebra as sentenças em linhas curtas (B031 = 92 chars na maior linha · B021 = 106 · B026 = 109 · B003 = 111).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t xml:space="preserve">Ficha nascida com o </w:t>
      </w:r>
      <w:r>
        <w:rPr>
          <w:b/>
        </w:rPr>
        <w:t>V já chancelado</w:t>
      </w:r>
      <w:r>
        <w:t xml:space="preserve"> pelo Curador nas levas P7m/n/o e aplicado nesta unidade (a trava §7 «sem ficha → bloqueia» deixa de incidir): `chancela/HOLD.csv` baixado com desfecho.</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Reforma Íntima (tema do Grupo Atlan) — RC-392</w:t>
      </w:r>
    </w:p>
    <w:p>
      <w:pPr>
        <w:pStyle w:val="Heading2"/>
      </w:pPr>
      <w:r>
        <w:rPr>
          <w:color w:val="1F3A5F"/>
        </w:rPr>
        <w:t>Definição Sintética</w:t>
      </w:r>
    </w:p>
    <w:p>
      <w:pPr>
        <w:spacing w:after="80"/>
      </w:pPr>
      <w:r>
        <w:t>Na pregação do Grupo Atlan recolhida em B006, o processo de correção de si: à pergunta de como realizá-la na prática, a resposta foi «através da substituição das tendências, das inclinações e dos impulsos infelizes por posturas sensatas e mais amorosas» — somente pela vigilância constante do que nos vem do íntimo se podem administrar as próprias emoções, substituindo os maus pendores ainda existentes no espírito por melhores posturas. A dificuldade, segundo B075, está nas antigas ideias «enraizadas» profundamente no psiquismo humano, pois elas dificultam a reforma íntima da pessoa: a bagagem sináptica do cérebro e a herança de hábitos e habilidades da sua Mente Espiritual permanecem as mesmas, e só exercícios meditativos e o ressignificar dos pensamentos as desalojam. Na fonte oral, o autor adverte que se trata de um processo adulto e profundo, e não da superficialidade das crenças religiosas.</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B006, B074, B075, P2025-03-15.</w:t>
      </w:r>
    </w:p>
    <w:p>
      <w:pPr>
        <w:pStyle w:val="ListBullet"/>
      </w:pPr>
      <w:r>
        <w:t>Arestas em `RELACOES`: 1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B006</w:t>
            </w:r>
          </w:p>
        </w:tc>
        <w:tc>
          <w:tcPr>
            <w:tcW w:type="dxa" w:w="2436"/>
          </w:tcPr>
          <w:p>
            <w:pPr>
              <w:spacing w:after="0"/>
            </w:pPr>
            <w:r>
              <w:rPr>
                <w:sz w:val="18"/>
              </w:rPr>
              <w:t>Nos Bastidores da Luz I</w:t>
            </w:r>
          </w:p>
        </w:tc>
        <w:tc>
          <w:tcPr>
            <w:tcW w:type="dxa" w:w="2436"/>
          </w:tcPr>
          <w:p>
            <w:pPr>
              <w:spacing w:after="0"/>
            </w:pPr>
            <w:r>
              <w:rPr>
                <w:sz w:val="18"/>
              </w:rPr>
              <w:t>p. 28</w:t>
            </w:r>
          </w:p>
        </w:tc>
        <w:tc>
          <w:tcPr>
            <w:tcW w:type="dxa" w:w="2436"/>
          </w:tcPr>
          <w:p>
            <w:pPr>
              <w:spacing w:after="0"/>
            </w:pPr>
            <w:r>
              <w:rPr>
                <w:sz w:val="18"/>
              </w:rPr>
              <w:t>livro; citação intra-linha</w:t>
            </w:r>
          </w:p>
        </w:tc>
      </w:tr>
      <w:tr>
        <w:tc>
          <w:tcPr>
            <w:tcW w:type="dxa" w:w="2436"/>
          </w:tcPr>
          <w:p>
            <w:pPr>
              <w:spacing w:after="0"/>
            </w:pPr>
            <w:r>
              <w:rPr>
                <w:sz w:val="18"/>
              </w:rPr>
              <w:t>B075</w:t>
            </w:r>
          </w:p>
        </w:tc>
        <w:tc>
          <w:tcPr>
            <w:tcW w:type="dxa" w:w="2436"/>
          </w:tcPr>
          <w:p>
            <w:pPr>
              <w:spacing w:after="0"/>
            </w:pPr>
            <w:r>
              <w:rPr>
                <w:sz w:val="18"/>
              </w:rPr>
              <w:t>Mentalma II: Gestão Psíquica e Memórias Complexas</w:t>
            </w:r>
          </w:p>
        </w:tc>
        <w:tc>
          <w:tcPr>
            <w:tcW w:type="dxa" w:w="2436"/>
          </w:tcPr>
          <w:p>
            <w:pPr>
              <w:spacing w:after="0"/>
            </w:pPr>
            <w:r>
              <w:rPr>
                <w:sz w:val="18"/>
              </w:rPr>
              <w:t>p. 31</w:t>
            </w:r>
          </w:p>
        </w:tc>
        <w:tc>
          <w:tcPr>
            <w:tcW w:type="dxa" w:w="2436"/>
          </w:tcPr>
          <w:p>
            <w:pPr>
              <w:spacing w:after="0"/>
            </w:pPr>
            <w:r>
              <w:rPr>
                <w:sz w:val="18"/>
              </w:rPr>
              <w:t>livro; citação intra-linha</w:t>
            </w:r>
          </w:p>
        </w:tc>
      </w:tr>
      <w:tr>
        <w:tc>
          <w:tcPr>
            <w:tcW w:type="dxa" w:w="2436"/>
          </w:tcPr>
          <w:p>
            <w:pPr>
              <w:spacing w:after="0"/>
            </w:pPr>
            <w:r>
              <w:rPr>
                <w:sz w:val="18"/>
              </w:rPr>
              <w:t>P2025-03-15</w:t>
            </w:r>
          </w:p>
        </w:tc>
        <w:tc>
          <w:tcPr>
            <w:tcW w:type="dxa" w:w="2436"/>
          </w:tcPr>
          <w:p>
            <w:pPr>
              <w:spacing w:after="0"/>
            </w:pPr>
            <w:r>
              <w:rPr>
                <w:sz w:val="18"/>
              </w:rPr>
              <w:t>P2025-03-15</w:t>
            </w:r>
          </w:p>
        </w:tc>
        <w:tc>
          <w:tcPr>
            <w:tcW w:type="dxa" w:w="2436"/>
          </w:tcPr>
          <w:p>
            <w:pPr>
              <w:spacing w:after="0"/>
            </w:pPr>
            <w:r>
              <w:rPr>
                <w:sz w:val="18"/>
              </w:rPr>
              <w:t>—</w:t>
            </w:r>
          </w:p>
        </w:tc>
        <w:tc>
          <w:tcPr>
            <w:tcW w:type="dxa" w:w="2436"/>
          </w:tcPr>
          <w:p>
            <w:pPr>
              <w:spacing w:after="0"/>
            </w:pPr>
            <w:r>
              <w:rPr>
                <w:sz w:val="18"/>
              </w:rPr>
              <w:t>palestra/STT; citação intra-linha</w:t>
            </w:r>
          </w:p>
        </w:tc>
      </w:tr>
    </w:tbl>
    <w:p>
      <w:pPr>
        <w:spacing w:after="40"/>
      </w:pPr>
    </w:p>
    <w:p>
      <w:pPr>
        <w:pStyle w:val="Heading2"/>
      </w:pPr>
      <w:r>
        <w:rPr>
          <w:color w:val="1F3A5F"/>
        </w:rPr>
        <w:t>Citações-chave</w:t>
      </w:r>
    </w:p>
    <w:p>
      <w:pPr>
        <w:ind w:left="397"/>
      </w:pPr>
      <w:r>
        <w:rPr>
          <w:i/>
          <w:color w:val="555555"/>
        </w:rPr>
        <w:t>«através da substituição das tendências, das inclinações e dos impulsos infelizes por posturas» — B006 p. 28 · `original.txt` L1228 · cap. 10 «Reforma Íntima» — início da resposta (continua em L1229).</w:t>
      </w:r>
    </w:p>
    <w:p>
      <w:pPr>
        <w:ind w:left="397"/>
      </w:pPr>
      <w:r>
        <w:rPr>
          <w:i/>
          <w:color w:val="555555"/>
        </w:rPr>
        <w:t>«sensatas e mais amorosas.» — B006 p. 28 · `original.txt` L1229 · fecho intra-linha da mesma sentença.</w:t>
      </w:r>
    </w:p>
    <w:p>
      <w:pPr>
        <w:ind w:left="397"/>
      </w:pPr>
      <w:r>
        <w:rPr>
          <w:i/>
          <w:color w:val="555555"/>
        </w:rPr>
        <w:t>«psiquismo humano, pois elas dificultam a reforma íntima da pessoa.» — B075 p. 31 · `original.txt` L1183 · fecho intra-linha da sentença sobre as ideias enraizadas no psiquismo.</w:t>
      </w:r>
    </w:p>
    <w:p>
      <w:pPr>
        <w:ind w:left="397"/>
      </w:pPr>
      <w:r>
        <w:rPr>
          <w:i/>
          <w:color w:val="555555"/>
        </w:rPr>
        <w:t>«Mas é assim, mesmo o processo adulto e profundo da reforma íntima.» — P2025-03-15 · `original.txt` L50 · palestra (STT) — sentença completa.</w:t>
      </w:r>
    </w:p>
    <w:p>
      <w:pPr>
        <w:pStyle w:val="Heading2"/>
      </w:pPr>
      <w:r>
        <w:rPr>
          <w:color w:val="1F3A5F"/>
        </w:rPr>
        <w:t>Observações</w:t>
      </w:r>
    </w:p>
    <w:p>
      <w:pPr>
        <w:pStyle w:val="ListBullet"/>
      </w:pPr>
      <w:r>
        <w:t>O termo é do vocabulário espírita e comparece nas obras de apoio da casa (B006, de teor mediúnico, e B075) — a ficha registra o emprego que elas fazem, sem harmonizá-lo com a dogmática das RC.</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Molécula-mãe (ancestral comum da vida terrestre) — RC-540</w:t>
      </w:r>
    </w:p>
    <w:p>
      <w:pPr>
        <w:pStyle w:val="Heading2"/>
      </w:pPr>
      <w:r>
        <w:rPr>
          <w:color w:val="1F3A5F"/>
        </w:rPr>
        <w:t>Definição Sintética</w:t>
      </w:r>
    </w:p>
    <w:p>
      <w:pPr>
        <w:spacing w:after="80"/>
      </w:pPr>
      <w:r>
        <w:t>No argumento de B019, o ancestral comum de toda a vida terrestre: apenas existe um tipo de «código com receita para a vida» que apareceu no nosso mundo, e os demais corpos de seres vivos que irromperam ao longo da evolução derivaram dessa molécula-mãe — não há duas, somente uma. A vida biológica teria sido ancorada sempre numa molécula-mãe portadora do «Código digitalizado»: muitos caminhos foram primeiro trilhados no universo vizinho e, com a falência do tipo de vida que lá existia, o Código atualizado desse problema foi transferido quanticamente para cá, propiciando o surgimento da vida biológica, e semeado em diversos mundos pelos próprios seres que, com o tempo, surgiram neste universo.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 rota </w:t>
      </w:r>
      <w:r>
        <w:rPr>
          <w:b/>
        </w:rPr>
        <w:t>R1</w:t>
      </w:r>
      <w:r>
        <w:t xml:space="preserve"> do dossiê `diagnostico/CENSO-GAP-FICHAS-2026-09-13.md` — e executada na unidade U42 (lote 1 da família B), na esteira do precedente U30 (RC-367/RC-537) e do piloto U41. Conteúdo restrito ao que a fonte sustém.</w:t>
      </w:r>
    </w:p>
    <w:p>
      <w:pPr>
        <w:pStyle w:val="Heading2"/>
      </w:pPr>
      <w:r>
        <w:rPr>
          <w:color w:val="1F3A5F"/>
        </w:rPr>
        <w:t>Escopo e evidência</w:t>
      </w:r>
    </w:p>
    <w:p>
      <w:pPr>
        <w:pStyle w:val="ListBullet"/>
      </w:pPr>
      <w:r>
        <w:t>Fontes declaradas no cadastro: B019, P2024-11-30, P2024-11-09, P2020-09-19, P2021-03-13.</w:t>
      </w:r>
    </w:p>
    <w:p>
      <w:pPr>
        <w:pStyle w:val="ListBullet"/>
      </w:pPr>
      <w:r>
        <w:t>Arestas em `RELACOES`: 3 — nada aberto, fechado ou reetiquetado nesta ficha.</w:t>
      </w:r>
    </w:p>
    <w:p>
      <w:pPr>
        <w:pStyle w:val="ListBullet"/>
      </w:pPr>
      <w:r>
        <w:t xml:space="preserve">Censo do gap (13/09/2026): família </w:t>
      </w:r>
      <w:r>
        <w:rPr>
          <w:b/>
        </w:rPr>
        <w:t>B · prosa citável na fonte declarada</w:t>
      </w:r>
      <w:r>
        <w:t xml:space="preserve"> (`CENSO-GAP-FICHAS-2026-09-13.json`).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 distingue-se-de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w:t>
            </w:r>
          </w:p>
        </w:tc>
        <w:tc>
          <w:tcPr>
            <w:tcW w:type="dxa" w:w="2436"/>
          </w:tcPr>
          <w:p>
            <w:pPr>
              <w:spacing w:after="0"/>
            </w:pPr>
            <w:r>
              <w:rPr>
                <w:sz w:val="18"/>
              </w:rPr>
              <w:t>Nem Deus, nem Javé, nem Darwin</w:t>
            </w:r>
          </w:p>
        </w:tc>
        <w:tc>
          <w:tcPr>
            <w:tcW w:type="dxa" w:w="2436"/>
          </w:tcPr>
          <w:p>
            <w:pPr>
              <w:spacing w:after="0"/>
            </w:pPr>
            <w:r>
              <w:rPr>
                <w:sz w:val="18"/>
              </w:rPr>
              <w:t>p. 181, p. 184</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«irroperam ao longo da evolução, derivaram dessa “molécula-mãe”.» — B019 p. 181 · `original.txt` L7923 · fecho intra-linha da sentença sobre a unidade do código da vida.</w:t>
      </w:r>
    </w:p>
    <w:p>
      <w:pPr>
        <w:ind w:left="397"/>
      </w:pPr>
      <w:r>
        <w:rPr>
          <w:i/>
          <w:color w:val="555555"/>
        </w:rPr>
        <w:t>«numa “molécula-mãe” com o tal “Código digitalizado”.» — B019 p. 184 · `original.txt` L8056 · fecho intra-linha da sentença sobre a transferência do Código do universo vizinho.</w:t>
      </w:r>
    </w:p>
    <w:p>
      <w:pPr>
        <w:pStyle w:val="Heading2"/>
      </w:pPr>
      <w:r>
        <w:rPr>
          <w:color w:val="1F3A5F"/>
        </w:rPr>
        <w:t>Observações</w:t>
      </w:r>
    </w:p>
    <w:p>
      <w:pPr>
        <w:pStyle w:val="ListBullet"/>
      </w:pPr>
      <w:r>
        <w:t>A grafia do original é «irroperam» (L7923), preservada na citação; a Definição Sintética usa a forma corrente «irromperam» por se tratar de paráfrase, não de citação.</w:t>
      </w:r>
    </w:p>
    <w:p>
      <w:pPr>
        <w:pStyle w:val="ListBullet"/>
      </w:pPr>
      <w:r>
        <w:rPr>
          <w:b/>
        </w:rPr>
        <w:t>Fratura de hard-wrap:</w:t>
      </w:r>
      <w:r>
        <w:t xml:space="preserve"> a edição digital das fontes quebra as sentenças em linhas curtas. Cada fragmento entre «» é verbatim </w:t>
      </w:r>
      <w:r>
        <w:rPr>
          <w:b/>
        </w:rPr>
        <w:t>intra-linha</w:t>
      </w:r>
      <w:r>
        <w:t xml:space="preserve">, conferido byte a byte contra o `original.txt` da obra declarada; quando uma sentença foi partida, o seu início e o seu fecho aparecem como fragmentos distintos, com as linhas indicadas. A sentença íntegra só será citável após o refinamento </w:t>
      </w:r>
      <w:r>
        <w:rPr>
          <w:b/>
        </w:rPr>
        <w:t>R2</w:t>
      </w:r>
      <w:r>
        <w:t xml:space="preserve"> (reconstrução de parágrafos), previsto no dossiê do gap.</w:t>
      </w:r>
    </w:p>
    <w:p>
      <w:pPr>
        <w:pStyle w:val="ListBullet"/>
      </w:pPr>
      <w:r>
        <w:rPr>
          <w:b/>
        </w:rPr>
        <w:t>Status de nascença:</w:t>
      </w:r>
      <w:r>
        <w:t xml:space="preserve"> 🟡 </w:t>
      </w:r>
      <w:r>
        <w:rPr>
          <w:b/>
        </w:rPr>
        <w:t>provisório</w:t>
      </w:r>
      <w:r>
        <w:t xml:space="preserve"> — este código nunca passou por leva de chancela (nenhuma planilha `chancela/P7-</w:t>
      </w:r>
      <w:r>
        <w:rPr>
          <w:i/>
        </w:rPr>
        <w:t xml:space="preserve">.csv` o contém): a materialização da ficha foi despachada, o </w:t>
      </w:r>
      <w:r>
        <w:rPr>
          <w:i/>
        </w:rPr>
        <w:t>V não</w:t>
      </w:r>
      <w:r>
        <w:t>*, e marcar 🟢 sem chancela seria autocancela. A ficha segue para a próxima leva de chancela, com as citações já extraídas e conferidas.</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(40 códigos)**: RC-833, RC-769, RC-859, RC-500, RC-795, RC-785, RC-193, RC-576, RC-800, RC-801, RC-812, RC-454, RC-822, RC-367, RC-537, RC-027, RC-030, RC-050, RC-051, RC-053, RC-097, RC-248, RC-304, RC-306, RC-076, RC-100, RC-214, RC-215, RC-222, RC-246, RC-309, RC-368, RC-390, RC-090, RC-227, RC-318, RC-347, RC-348, RC-360, RC-364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