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Ampliação — P2026-03-21 (importada da remissiva RC-769 — U26/13-09-2026)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ListBullet"/>
      </w:pPr>
      <w:r>
        <w:rPr>
          <w:b/>
        </w:rPr>
        <w:t>Fenvã = Fenvans (U26, despacho do Curador 13/09/2026):</w:t>
      </w:r>
      <w:r>
        <w:t xml:space="preserve"> RC-769 «Corpos Fenvã» foi fundido aqui por remissiva (grafia «Fenvã» provém de STT da palestra P2026-07-25); a Ampliação P2026-03-21 migrou verbatim para esta ficha, com a fonte no cadastro e na tabela. O pendente de confirmação em fonte publicada acompanha a lápide RC-769 (histórico preservado).</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RC-769 — Corpos Fenvã (terceira forma de vida do universo vizinho)</w:t>
      </w:r>
    </w:p>
    <w:p>
      <w:pPr>
        <w:ind w:left="397"/>
      </w:pPr>
      <w:r>
        <w:rPr>
          <w:i/>
          <w:color w:val="555555"/>
        </w:rPr>
        <w:t>**REMISSIVA — [U26-MERGE 13-09-2026]** Este código foi **fundido em RC-064 («Fenvans»)** por despacho do Curador (o `?` do retorno 1.3: «Fenvã = Fenvan»). O verbete canônico é **RC-064** — é ele que deve ser citado. O registro abaixo fica preservado como lastro histórico da abertura: a Ampliação P2026-03-21 e a fonte migraram byte a byte para a ficha canônica; o HOLD P7c foi baixado com a decisão de fusão.</w:t>
      </w:r>
    </w:p>
    <w:p>
      <w:pPr>
        <w:pStyle w:val="Heading2"/>
      </w:pPr>
      <w:r>
        <w:rPr>
          <w:color w:val="1F3A5F"/>
        </w:rPr>
        <w:t>Registro histórico (título original)</w:t>
      </w:r>
    </w:p>
    <w:p>
      <w:pPr>
        <w:pStyle w:val="ListBullet"/>
      </w:pPr>
      <w:r>
        <w:rPr>
          <w:b/>
        </w:rPr>
        <w:t>Título original:</w:t>
      </w:r>
      <w:r>
        <w:t xml:space="preserve"> "Corpos Fenvã (terceira forma de vida do universo vizinho)" — grafia "Fenvã" provém de STT da palestra P2026-07-25.</w:t>
      </w:r>
    </w:p>
    <w:p>
      <w:pPr>
        <w:pStyle w:val="ListBullet"/>
      </w:pPr>
      <w:r>
        <w:rPr>
          <w:b/>
        </w:rPr>
        <w:t>Fontes da abertura:</w:t>
      </w:r>
      <w:r>
        <w:t xml:space="preserve"> P2026-03-21, P2026-07-25.</w:t>
      </w:r>
    </w:p>
    <w:p>
      <w:pPr>
        <w:spacing w:after="80"/>
      </w:pPr>
      <w:r>
        <w:t>---</w:t>
      </w: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ListBullet"/>
      </w:pPr>
      <w:r>
        <w:rPr>
          <w:b/>
        </w:rPr>
        <w:t>Portão 0.3 acionado e respondido (13/09/2026):</w:t>
      </w:r>
      <w:r>
        <w:t xml:space="preserve"> o retorno P7i (5.4-escrituras) trouxe V sobre o HOLD; a pergunta foi lavrada ao Curador e a decisão é </w:t>
      </w:r>
      <w:r>
        <w:rPr>
          <w:b/>
        </w:rPr>
        <w:t>manter o HOLD</w:t>
      </w:r>
      <w:r>
        <w:t xml:space="preserve"> — a retenção P6/P7i continua e a liberação exige despacho novo. Status inalterado por ordem do Curador.</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