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06/09/2026 — 946 termos · 1898 relações · 102 obras · 638 fichas disponíveis (638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provisório</w:t>
            </w:r>
          </w:p>
        </w:tc>
      </w:tr>
    </w:tbl>
    <w:p>
      <w:pPr>
        <w:spacing w:after="40"/>
      </w:pPr>
    </w:p>
    <w:p>
      <w:r>
        <w:br w:type="page"/>
      </w:r>
    </w:p>
    <w:p>
      <w:pPr>
        <w:pStyle w:val="Heading1"/>
      </w:pPr>
      <w:r>
        <w:rPr>
          <w:color w:val="1F3A5F"/>
        </w:rPr>
        <w:t>PARTE 2 — FICHAS DETALHADAS DOS TERMOS CENTRAIS</w:t>
      </w:r>
    </w:p>
    <w:p>
      <w:pPr>
        <w:spacing w:after="80"/>
      </w:pPr>
      <w:r>
        <w:rPr>
          <w:b w:val="0"/>
          <w:i/>
          <w:sz w:val="20"/>
        </w:rPr>
        <w:t>638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formação de João Batista:</w:t>
      </w:r>
    </w:p>
    <w:p>
      <w:pPr>
        <w:ind w:left="397"/>
      </w:pPr>
      <w:r>
        <w:rPr>
          <w:i/>
          <w:color w:val="555555"/>
        </w:rPr>
        <w:t>(cf. Aula 01 — Adolescência e a Juventude de Jesus; ver relação com João Batista e o conhecimento de escrituras)</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recuperação da revelação gnóstica original contraposta à versão paulina:</w:t>
      </w:r>
    </w:p>
    <w:p>
      <w:pPr>
        <w:ind w:left="397"/>
      </w:pPr>
      <w:r>
        <w:rPr>
          <w:i/>
          <w:color w:val="555555"/>
        </w:rPr>
        <w:t>(cf. Aula 04 — O Nascimento do Cristianismo; ver também a relação com Nag Hammadi e a Hipóstase dos Arcontes)</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