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659 fichas disponíveis (659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659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permanece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ainda sem ficha)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permanecem </w:t>
      </w:r>
      <w:r>
        <w:rPr>
          <w:b/>
        </w:rPr>
        <w:t>sem ficha</w:t>
      </w:r>
      <w:r>
        <w:t xml:space="preserve"> (RC-038 materializada P5c).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