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13/09/2026 — 946 termos · 1887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(13 códigos)**: RC-833, RC-769, RC-859, RC-500, RC-795, RC-785, RC-193, RC-576, RC-800, RC-801, RC-812, RC-454, RC-822 — ver `chancela/HOLD.csv` (motivo por código). Nenhum vira 🟢 sem despacho.</w:t>
      </w:r>
    </w:p>
    <w:p>
      <w:pPr>
        <w:spacing w:after="80"/>
      </w:pPr>
      <w:r>
        <w:rPr>
          <w:b w:val="0"/>
          <w:i w:val="0"/>
          <w:sz w:val="20"/>
        </w:rPr>
        <w:t>2. **Legado sob regressão**: 89 tabelas Fontes malformadas + 127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