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ind w:left="397"/>
      </w:pPr>
      <w:r>
        <w:rPr>
          <w:i/>
          <w:color w:val="555555"/>
        </w:rPr>
        <w:t>Notas de processo: 1 bloco(s) arquivado(s) VERBATIM em `notas/fichas/RC-093.md` (migração 2.4 — 12/09/2026). Histórico de mutirão/governança — consultar lá, não reescrever.</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ind w:left="397"/>
      </w:pPr>
      <w:r>
        <w:rPr>
          <w:i/>
          <w:color w:val="555555"/>
        </w:rPr>
        <w:t>Notas de processo: 1 bloco(s) arquivado(s) VERBATIM em `notas/fichas/RC-154.md` (migração 2.4 — 12/09/2026). Histórico de mutirão/governança — consultar lá, não reescrever.</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2026-09-12</w:t>
            </w:r>
          </w:p>
        </w:tc>
      </w:tr>
    </w:tbl>
    <w:p>
      <w:pPr>
        <w:spacing w:after="40"/>
      </w:pP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ind w:left="397"/>
      </w:pPr>
      <w:r>
        <w:rPr>
          <w:i/>
          <w:color w:val="555555"/>
        </w:rPr>
        <w:t>Notas de processo: 1 bloco(s) arquivado(s) VERBATIM em `notas/fichas/RC-403.md` (migração 2.4 — 12/09/2026). Histórico de mutirão/governança — consultar lá, não reescrever.</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ind w:left="397"/>
      </w:pPr>
      <w:r>
        <w:rPr>
          <w:i/>
          <w:color w:val="555555"/>
        </w:rPr>
        <w:t>Notas de processo: 1 bloco(s) arquivado(s) VERBATIM em `notas/fichas/RC-530.md` (migração 2.4 — 12/09/2026). Histórico de mutirão/governança — consultar lá, não reescrever.</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é-sucedida-por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ind w:left="397"/>
      </w:pPr>
      <w:r>
        <w:rPr>
          <w:i/>
          <w:color w:val="555555"/>
        </w:rPr>
        <w:t>Notas de processo: 1 bloco(s) arquivado(s) VERBATIM em `notas/fichas/RC-705.md` (migração 2.4 — 12/09/2026). Histórico de mutirão/governança — consultar lá, não reescrever.</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+ 145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