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673 fichas disponíveis (673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673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Ampliação — P2026-03-21 (importada da remissiva RC-769 — U26/13-09-2026)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ListBullet"/>
      </w:pPr>
      <w:r>
        <w:rPr>
          <w:b/>
        </w:rPr>
        <w:t>Fenvã = Fenvans (U26, despacho do Curador 13/09/2026):</w:t>
      </w:r>
      <w:r>
        <w:t xml:space="preserve"> RC-769 «Corpos Fenvã» foi fundido aqui por remissiva (grafia «Fenvã» provém de STT da palestra P2026-07-25); a Ampliação P2026-03-21 migrou verbatim para esta ficha, com a fonte no cadastro e na tabela. O pendente de confirmação em fonte publicada acompanha a lápide RC-769 (histórico preservado).</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Alteração Vibratória (Transfiguração) — RC-367</w:t>
      </w:r>
    </w:p>
    <w:p>
      <w:pPr>
        <w:pStyle w:val="Heading2"/>
      </w:pPr>
      <w:r>
        <w:rPr>
          <w:color w:val="1F3A5F"/>
        </w:rPr>
        <w:t>Definição Sintética</w:t>
      </w:r>
    </w:p>
    <w:p>
      <w:pPr>
        <w:spacing w:after="80"/>
      </w:pPr>
      <w:r>
        <w:t>Modificação do estado vibratório do manifestante — o mecanismo pelo qual a aparição do Mestre se torna perceptível (ou não) aos observadores: a «transfiguração» lida em B011 como fenômeno de nível vibratório, não de metamorfose da matéria. O termo comparece como título do capítulo 7 do sumário do livro.</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B011, P2025-02-15.</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B011</w:t>
            </w:r>
          </w:p>
        </w:tc>
        <w:tc>
          <w:tcPr>
            <w:tcW w:type="dxa" w:w="2436"/>
          </w:tcPr>
          <w:p>
            <w:pPr>
              <w:spacing w:after="0"/>
            </w:pPr>
            <w:r>
              <w:rPr>
                <w:sz w:val="18"/>
              </w:rPr>
              <w:t>Jesus, o enigma da transfiguração</w:t>
            </w:r>
          </w:p>
        </w:tc>
        <w:tc>
          <w:tcPr>
            <w:tcW w:type="dxa" w:w="2436"/>
          </w:tcPr>
          <w:p>
            <w:pPr>
              <w:spacing w:after="0"/>
            </w:pPr>
            <w:r>
              <w:rPr>
                <w:sz w:val="18"/>
              </w:rPr>
              <w:t>—</w:t>
            </w:r>
          </w:p>
        </w:tc>
        <w:tc>
          <w:tcPr>
            <w:tcW w:type="dxa" w:w="2436"/>
          </w:tcPr>
          <w:p>
            <w:pPr>
              <w:spacing w:after="0"/>
            </w:pPr>
            <w:r>
              <w:rPr>
                <w:sz w:val="18"/>
              </w:rPr>
              <w:t>livro; citação intra-linha</w:t>
            </w:r>
          </w:p>
        </w:tc>
      </w:tr>
    </w:tbl>
    <w:p>
      <w:pPr>
        <w:spacing w:after="40"/>
      </w:pPr>
    </w:p>
    <w:p>
      <w:pPr>
        <w:pStyle w:val="Heading2"/>
      </w:pPr>
      <w:r>
        <w:rPr>
          <w:color w:val="1F3A5F"/>
        </w:rPr>
        <w:t>Citações-chave</w:t>
      </w:r>
    </w:p>
    <w:p>
      <w:pPr>
        <w:ind w:left="397"/>
      </w:pPr>
      <w:r>
        <w:rPr>
          <w:i/>
          <w:color w:val="555555"/>
        </w:rPr>
        <w:t>«nada mais representa do que um nível vibratório de consciência.» — verbatim intra-linha em `original.txt` da fonte.</w:t>
      </w:r>
    </w:p>
    <w:p>
      <w:pPr>
        <w:pStyle w:val="Heading2"/>
      </w:pPr>
      <w:r>
        <w:rPr>
          <w:color w:val="1F3A5F"/>
        </w:rPr>
        <w:t>Observações</w:t>
      </w:r>
    </w:p>
    <w:p>
      <w:pPr>
        <w:pStyle w:val="ListBullet"/>
      </w:pPr>
      <w:r>
        <w:t>A fonte é integralmente hard-wrapped (edição digital em linhas curtas); as sentenças do cap. 7 extrapolam a linha, e a política da casa só admite citação verbatim intra-linha. A Citações-chave fixa a sentença completa que coube numa linha; o título do capítulo é dado estrutural do sumário.</w:t>
      </w:r>
    </w:p>
    <w:p>
      <w:pPr>
        <w:pStyle w:val="ListBullet"/>
      </w:pPr>
      <w:r>
        <w:rPr>
          <w:i/>
        </w:rPr>
        <w:t>Ocorrência referenciada apenas estruturalmente (índices/listas) nas obras-fonte processadas até o momento.</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r>
        <w:t>(Natureza: síntese curatorial — texto ditado pelo Curador, sem parágrafo correspondente nas obras-fonte processadas até 13/09/2026; mantido como referência interpretativa, não como citação literal.)</w:t>
      </w: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Maré Cósmica (eventos cósmicos que afetam a Terra) — RC-537</w:t>
      </w:r>
    </w:p>
    <w:p>
      <w:pPr>
        <w:pStyle w:val="Heading2"/>
      </w:pPr>
      <w:r>
        <w:rPr>
          <w:color w:val="1F3A5F"/>
        </w:rPr>
        <w:t>Definição Sintética</w:t>
      </w:r>
    </w:p>
    <w:p>
      <w:pPr>
        <w:spacing w:after="80"/>
      </w:pPr>
      <w:r>
        <w:t>Os ciclos de fluxo que varrem o sistema e alteram o curso da evolução terrestre — abertos na seção «Efeitos da Maré Cósmica» (B042, p. 120) pela epígrafe de Heráclito, cujo corpo narra o clarão de há ~65 milhões de anos que reescreveu a trajetória evolutiva.</w:t>
      </w:r>
    </w:p>
    <w:p>
      <w:pPr>
        <w:pStyle w:val="Heading2"/>
      </w:pPr>
      <w:r>
        <w:rPr>
          <w:color w:val="1F3A5F"/>
        </w:rPr>
        <w:t>Contexto / Origem</w:t>
      </w:r>
    </w:p>
    <w:p>
      <w:pPr>
        <w:spacing w:after="80"/>
      </w:pPr>
      <w:r>
        <w:rPr>
          <w:b/>
        </w:rPr>
        <w:t>Materialização (não é criação).</w:t>
      </w:r>
      <w:r>
        <w:t xml:space="preserve"> Este código vivia só no cadastro (`ficha=False`). A virada foi despachada pelo Curador em 13/09/2026, na resolução da trava «sem ficha → bloqueia» da leva P7l (V devolvido), e executada na unidade U30. Conteúdo restrito ao que a fonte sustém.</w:t>
      </w:r>
    </w:p>
    <w:p>
      <w:pPr>
        <w:pStyle w:val="Heading2"/>
      </w:pPr>
      <w:r>
        <w:rPr>
          <w:color w:val="1F3A5F"/>
        </w:rPr>
        <w:t>Escopo e evidência</w:t>
      </w:r>
    </w:p>
    <w:p>
      <w:pPr>
        <w:pStyle w:val="ListBullet"/>
      </w:pPr>
      <w:r>
        <w:t>Fontes declaradas no cadastro: B042, P2022-12-17.</w:t>
      </w:r>
    </w:p>
    <w:p>
      <w:pPr>
        <w:pStyle w:val="ListBullet"/>
      </w:pPr>
      <w:r>
        <w:t>Arestas em `RELACOES`: 2 — nada aberto, fechado ou reetiquetado nesta ficha.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B042</w:t>
            </w:r>
          </w:p>
        </w:tc>
        <w:tc>
          <w:tcPr>
            <w:tcW w:type="dxa" w:w="2436"/>
          </w:tcPr>
          <w:p>
            <w:pPr>
              <w:spacing w:after="0"/>
            </w:pPr>
            <w:r>
              <w:rPr>
                <w:sz w:val="18"/>
              </w:rPr>
              <w:t>Crônicas de um novo tempo</w:t>
            </w:r>
          </w:p>
        </w:tc>
        <w:tc>
          <w:tcPr>
            <w:tcW w:type="dxa" w:w="2436"/>
          </w:tcPr>
          <w:p>
            <w:pPr>
              <w:spacing w:after="0"/>
            </w:pPr>
            <w:r>
              <w:rPr>
                <w:sz w:val="18"/>
              </w:rPr>
              <w:t>p. 120</w:t>
            </w:r>
          </w:p>
        </w:tc>
        <w:tc>
          <w:tcPr>
            <w:tcW w:type="dxa" w:w="2436"/>
          </w:tcPr>
          <w:p>
            <w:pPr>
              <w:spacing w:after="0"/>
            </w:pPr>
            <w:r>
              <w:rPr>
                <w:sz w:val="18"/>
              </w:rPr>
              <w:t>livro; epígrafe citada intra-linha</w:t>
            </w:r>
          </w:p>
        </w:tc>
      </w:tr>
    </w:tbl>
    <w:p>
      <w:pPr>
        <w:spacing w:after="40"/>
      </w:pPr>
    </w:p>
    <w:p>
      <w:pPr>
        <w:pStyle w:val="Heading2"/>
      </w:pPr>
      <w:r>
        <w:rPr>
          <w:color w:val="1F3A5F"/>
        </w:rPr>
        <w:t>Citações-chave</w:t>
      </w:r>
    </w:p>
    <w:p>
      <w:pPr>
        <w:ind w:left="397"/>
      </w:pPr>
      <w:r>
        <w:rPr>
          <w:i/>
          <w:color w:val="555555"/>
        </w:rPr>
        <w:t>«"Tudo é fluxo, nada está parado."» — verbatim intra-linha em `original.txt` da fonte.</w:t>
      </w:r>
    </w:p>
    <w:p>
      <w:pPr>
        <w:pStyle w:val="Heading2"/>
      </w:pPr>
      <w:r>
        <w:rPr>
          <w:color w:val="1F3A5F"/>
        </w:rPr>
        <w:t>Observações</w:t>
      </w:r>
    </w:p>
    <w:p>
      <w:pPr>
        <w:pStyle w:val="ListBullet"/>
      </w:pPr>
      <w:r>
        <w:t>O heading da seção na p. 120 está degradado no STT da fonte («Efeitos da Mar é Cósmica»); o título limpo «Efeitos da Maré Cósmica» consta do sumário — grafia canônica mantida.</w:t>
      </w:r>
    </w:p>
    <w:p>
      <w:pPr>
        <w:pStyle w:val="ListBullet"/>
      </w:pPr>
      <w:r>
        <w:t>A frase citada é epígrafe de Heráclito reproduzida pelo autor; o parágrafo do autor é hard-wrapped e fratura a sentença, sem sentença intra-linha própria disponível para citação — aguardar nova conferência quando houver extração em parágrafo.</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RC-769 — Corpos Fenvã (terceira forma de vida do universo vizinho)</w:t>
      </w:r>
    </w:p>
    <w:p>
      <w:pPr>
        <w:ind w:left="397"/>
      </w:pPr>
      <w:r>
        <w:rPr>
          <w:i/>
          <w:color w:val="555555"/>
        </w:rPr>
        <w:t>**REMISSIVA — [U26-MERGE 13-09-2026]** Este código foi **fundido em RC-064 («Fenvans»)** por despacho do Curador (o `?` do retorno 1.3: «Fenvã = Fenvan»). O verbete canônico é **RC-064** — é ele que deve ser citado. O registro abaixo fica preservado como lastro histórico da abertura: a Ampliação P2026-03-21 e a fonte migraram byte a byte para a ficha canônica; o HOLD P7c foi baixado com a decisão de fusão.</w:t>
      </w:r>
    </w:p>
    <w:p>
      <w:pPr>
        <w:pStyle w:val="Heading2"/>
      </w:pPr>
      <w:r>
        <w:rPr>
          <w:color w:val="1F3A5F"/>
        </w:rPr>
        <w:t>Registro histórico (título original)</w:t>
      </w:r>
    </w:p>
    <w:p>
      <w:pPr>
        <w:pStyle w:val="ListBullet"/>
      </w:pPr>
      <w:r>
        <w:rPr>
          <w:b/>
        </w:rPr>
        <w:t>Título original:</w:t>
      </w:r>
      <w:r>
        <w:t xml:space="preserve"> "Corpos Fenvã (terceira forma de vida do universo vizinho)" — grafia "Fenvã" provém de STT da palestra P2026-07-25.</w:t>
      </w:r>
    </w:p>
    <w:p>
      <w:pPr>
        <w:pStyle w:val="ListBullet"/>
      </w:pPr>
      <w:r>
        <w:rPr>
          <w:b/>
        </w:rPr>
        <w:t>Fontes da abertura:</w:t>
      </w:r>
      <w:r>
        <w:t xml:space="preserve"> P2026-03-21, P2026-07-25.</w:t>
      </w:r>
    </w:p>
    <w:p>
      <w:pPr>
        <w:spacing w:after="80"/>
      </w:pPr>
      <w:r>
        <w:t>---</w:t>
      </w: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ListBullet"/>
      </w:pPr>
      <w:r>
        <w:rPr>
          <w:b/>
        </w:rPr>
        <w:t>Portão 0.3 acionado e respondido (13/09/2026):</w:t>
      </w:r>
      <w:r>
        <w:t xml:space="preserve"> o retorno P7i (5.4-escrituras) trouxe V sobre o HOLD; a pergunta foi lavrada ao Curador e a decisão é </w:t>
      </w:r>
      <w:r>
        <w:rPr>
          <w:b/>
        </w:rPr>
        <w:t>manter o HOLD</w:t>
      </w:r>
      <w:r>
        <w:t xml:space="preserve"> — a retenção P6/P7i continua e a liberação exige despacho novo. Status inalterado por ordem do Curador.</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(24 códigos)**: RC-833, RC-769, RC-859, RC-500, RC-795, RC-785, RC-193, RC-576, RC-800, RC-801, RC-812, RC-454, RC-822, RC-367, RC-537, RC-027, RC-030, RC-050, RC-051, RC-053, RC-097, RC-248, RC-304, RC-306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