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B57"/>
          <w:sz w:val="40"/>
        </w:rPr>
        <w:t>Adjudicação — Alienígenas e humanos: Eles já estão entre nós?</w:t>
      </w:r>
    </w:p>
    <w:p>
      <w:pPr>
        <w:jc w:val="center"/>
      </w:pPr>
      <w:r>
        <w:rPr>
          <w:i/>
          <w:color w:val="555555"/>
          <w:sz w:val="22"/>
        </w:rPr>
        <w:t>29 linhas de livro-razão decididas · Jan Val Ellam · vídeo 2 · 16 de setembro de 2026</w:t>
      </w:r>
    </w:p>
    <w:p/>
    <w:p>
      <w:pPr>
        <w:pStyle w:val="Heading1"/>
        <w:keepNext/>
        <w:spacing w:before="280"/>
      </w:pPr>
      <w:r>
        <w:rPr>
          <w:rFonts w:ascii="Calibri" w:hAnsi="Calibri"/>
          <w:b/>
          <w:color w:val="1F3B57"/>
          <w:sz w:val="32"/>
        </w:rPr>
        <w:t>Adjudicação — Alienígenas e humanos: Eles já estão entre nós? (Jan Val Ellam)</w:t>
      </w:r>
    </w:p>
    <w:p>
      <w:pPr>
        <w:jc w:val="both"/>
      </w:pPr>
      <w:r>
        <w:t xml:space="preserve">Pasta </w:t>
      </w:r>
      <w:r>
        <w:rPr>
          <w:rFonts w:ascii="Consolas" w:hAnsi="Consolas"/>
          <w:sz w:val="20"/>
        </w:rPr>
        <w:t>transcricoes/2026-09-12-alienigenas-e-humanos-entre-nos</w:t>
      </w:r>
      <w:r>
        <w:t xml:space="preserve"> · 16/09/2026 · Agente 86.</w:t>
      </w:r>
    </w:p>
    <w:p>
      <w:pPr>
        <w:jc w:val="both"/>
      </w:pPr>
      <w:r>
        <w:t xml:space="preserve">Livro-razão: </w:t>
      </w:r>
      <w:r>
        <w:rPr>
          <w:rFonts w:ascii="Consolas" w:hAnsi="Consolas"/>
          <w:sz w:val="20"/>
        </w:rPr>
        <w:t>10-diagnostico/variantes-propostas.csv</w:t>
      </w:r>
      <w:r>
        <w:t xml:space="preserve"> (29 linhas, todas decididas — portão G4 </w:t>
      </w:r>
      <w:r>
        <w:rPr>
          <w:rFonts w:ascii="Consolas" w:hAnsi="Consolas"/>
          <w:sz w:val="20"/>
        </w:rPr>
        <w:t>ok</w:t>
      </w:r>
      <w:r>
        <w:t>).</w:t>
      </w:r>
    </w:p>
    <w:p>
      <w:pPr>
        <w:jc w:val="both"/>
      </w:pPr>
      <w:r>
        <w:rPr>
          <w:b/>
        </w:rPr>
        <w:t>Condição desta adjudicação:</w:t>
      </w:r>
      <w:r>
        <w:t xml:space="preserve"> a matéria dos blocos não é o bruto, é a </w:t>
      </w:r>
      <w:r>
        <w:rPr>
          <w:b/>
        </w:rPr>
        <w:t>revisão externa</w:t>
      </w:r>
      <w:r>
        <w:t xml:space="preserve"> do</w:t>
      </w:r>
    </w:p>
    <w:p>
      <w:pPr>
        <w:jc w:val="both"/>
      </w:pPr>
      <w:r>
        <w:t>Comandante (</w:t>
      </w:r>
      <w:r>
        <w:rPr>
          <w:rFonts w:ascii="Consolas" w:hAnsi="Consolas"/>
          <w:sz w:val="20"/>
        </w:rPr>
        <w:t>00-fonte/revisao-comandante.docx</w:t>
      </w:r>
      <w:r>
        <w:t>). O bruto oficial foi usado como autoridade sobre o</w:t>
      </w:r>
    </w:p>
    <w:p>
      <w:pPr>
        <w:jc w:val="both"/>
      </w:pPr>
      <w:r>
        <w:t>que foi dito — foi contra ele que cada decisão abaixo foi conferida. Divergência lexical entre os</w:t>
      </w:r>
    </w:p>
    <w:p>
      <w:pPr>
        <w:jc w:val="both"/>
      </w:pPr>
      <w:r>
        <w:t xml:space="preserve">dois: </w:t>
      </w:r>
      <w:r>
        <w:rPr>
          <w:b/>
        </w:rPr>
        <w:t>8,12%</w:t>
      </w:r>
      <w:r>
        <w:t xml:space="preserve"> (</w:t>
      </w:r>
      <w:r>
        <w:rPr>
          <w:rFonts w:ascii="Consolas" w:hAnsi="Consolas"/>
          <w:sz w:val="20"/>
        </w:rPr>
        <w:t>docs/pareceres/video-2-medicao-oficial.md</w:t>
      </w:r>
      <w:r>
        <w:t>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1. Fila automática (motor rc_diagnostico.py + rc_lexicon.py)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decisão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linhas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o que significa aqui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informativa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19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candidatos de classe artigo/flexão cuja forma no texto já está correta (ex.: "um loop mental" → RC-924, "e antimatéria" → RC-527). Nada a substituir; registradas para auditoria da varredura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recusada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falsos positivos — tabela §3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protecao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"colmeia" (forma já correta, RC-174) e "YouTube" (camada 3, ocorrência no cabeçalho)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aceita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locas → Lokas (RC-077), atestada 2× no corpo do bruto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aceita-parcial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chamanismo → grafia xamanismo aplicada; o termo RC-577 (Xamanismo Cósmico) não se aplica</w:t>
            </w:r>
          </w:p>
        </w:tc>
      </w:tr>
    </w:tbl>
    <w:p/>
    <w:p>
      <w:pPr>
        <w:jc w:val="both"/>
      </w:pPr>
      <w:r>
        <w:t xml:space="preserve">Nenhuma linha </w:t>
      </w:r>
      <w:r>
        <w:rPr>
          <w:rFonts w:ascii="Consolas" w:hAnsi="Consolas"/>
          <w:sz w:val="20"/>
        </w:rPr>
        <w:t>superada</w:t>
      </w:r>
      <w:r>
        <w:t xml:space="preserve">. Nenhuma linha ficou em </w:t>
      </w:r>
      <w:r>
        <w:rPr>
          <w:rFonts w:ascii="Consolas" w:hAnsi="Consolas"/>
          <w:sz w:val="20"/>
        </w:rPr>
        <w:t>proposta</w:t>
      </w:r>
      <w:r>
        <w:t>: o portão G4 não fecha com decisão em</w:t>
      </w:r>
    </w:p>
    <w:p>
      <w:pPr>
        <w:jc w:val="both"/>
      </w:pPr>
      <w:r>
        <w:t>aberto, e desta vez a matéria já vinha revisada — sobrou para a casa conferir, não corrigir em massa.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2. Correções aplicadas nos blocos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Bloco 1 — Abertura: os portais e as três fases do trânsito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onde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 → para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camada do Guia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motivo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§1, 1º parágrafo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"falar hoje a parte" → "falar hoje à tarde" [NOTA]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 bruto atesta "hoje à tarde"; "a parte" não existe na língua e desloca o sentido. Regressão do editor, a única que muda significado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§1, 1º parágrafo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 [NOTA] de proveniência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 vídeo é trecho da palestra "A Dramática Fusão dos Universos de Hyren e Hyron" (B085); informação do revisor, não fala do autor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§1, 2º parágrafo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"dia-a-dia" → "dia a dia"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ortografia corrente; o bruto já grafava sem hífen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§1, 3º parágrafo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"E quando pontes, pontes de luz" → "E quando pontes de luz"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falso início abandonado — remoção prevista no nível LEVE (Guia §10)</w:t>
            </w:r>
          </w:p>
        </w:tc>
      </w:tr>
    </w:tbl>
    <w:p/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Bloco 2 — Do fechamento dos portais à colmeia dos lokas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onde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 → para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camada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motivo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§2, "a ciência chama de singularidade"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"quarks e glues" → "quarks e gluons" [NOTA]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RC-034 registra a "sopa de quarks e gluons" (B031; P2025-03-15); o bruto diz "quarks e glu". glues é troca do corretor do editor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§2, "O universo antimaterial"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— [NOTA] de nomeação de dêiticos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 autor apontava para a tela; o revisor nomeou o referente (despacho de 16/09/2026). Fichas RC-033/RC-038, RC-106/RC-107, RC-077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§2, "é uma grande colmeia"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"abelha rainha" → "abelha-rainha"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RC-175 registra Abelha-Rainha; é também a prática do lote 01</w:t>
            </w:r>
          </w:p>
        </w:tc>
      </w:tr>
    </w:tbl>
    <w:p/>
    <w:p>
      <w:pPr>
        <w:jc w:val="both"/>
      </w:pPr>
      <w:r>
        <w:t xml:space="preserve">O bloco já trazia da revisão externa: </w:t>
      </w:r>
      <w:r>
        <w:rPr>
          <w:i/>
        </w:rPr>
        <w:t>xamanismo</w:t>
      </w:r>
      <w:r>
        <w:t xml:space="preserve">, </w:t>
      </w:r>
      <w:r>
        <w:rPr>
          <w:i/>
        </w:rPr>
        <w:t>lokas</w:t>
      </w:r>
      <w:r>
        <w:t xml:space="preserve">, </w:t>
      </w:r>
      <w:r>
        <w:rPr>
          <w:i/>
        </w:rPr>
        <w:t>Bhuloka</w:t>
      </w:r>
      <w:r>
        <w:t xml:space="preserve">, </w:t>
      </w:r>
      <w:r>
        <w:rPr>
          <w:i/>
        </w:rPr>
        <w:t>Brahmaloka</w:t>
      </w:r>
      <w:r>
        <w:t xml:space="preserve">, </w:t>
      </w:r>
      <w:r>
        <w:rPr>
          <w:i/>
        </w:rPr>
        <w:t>loop mental</w:t>
      </w:r>
      <w:r>
        <w:t>,</w:t>
      </w:r>
    </w:p>
    <w:p>
      <w:pPr>
        <w:jc w:val="both"/>
      </w:pPr>
      <w:r>
        <w:rPr>
          <w:i/>
        </w:rPr>
        <w:t>princípio da externalização</w:t>
      </w:r>
      <w:r>
        <w:t xml:space="preserve">, </w:t>
      </w:r>
      <w:r>
        <w:rPr>
          <w:i/>
        </w:rPr>
        <w:t>mitólogo</w:t>
      </w:r>
      <w:r>
        <w:t xml:space="preserve">, </w:t>
      </w:r>
      <w:r>
        <w:rPr>
          <w:i/>
        </w:rPr>
        <w:t>colapsa</w:t>
      </w:r>
      <w:r>
        <w:t xml:space="preserve"> — conferidos um a um contra o bruto e mantidos.</w:t>
      </w:r>
    </w:p>
    <w:p>
      <w:pPr>
        <w:pStyle w:val="Heading3"/>
        <w:keepNext/>
        <w:spacing w:before="200"/>
      </w:pPr>
      <w:r>
        <w:rPr>
          <w:rFonts w:ascii="Calibri" w:hAnsi="Calibri"/>
          <w:b/>
          <w:color w:val="1F3B57"/>
          <w:sz w:val="22"/>
        </w:rPr>
        <w:t>Bloco 3 — A fusão dos dois universos: caos A e caos B, os elétrons e o que espera as gerações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20"/>
              </w:rPr>
              <w:t>onde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de → para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camada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20"/>
              </w:rPr>
              <w:t>motivo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§3, "regras"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"pré-estabelecidas" → "preestabelecidas"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Acordo de 1990: prefixo terminado em vogal + palavra iniciada por vogal diferente não leva hífen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§3, "nada se perde"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"nenhum pósetron daqui" → "nenhum pósitron daqui" [NOTA]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RC-636: "o jogo de pósitrons [STT 'positelétron']", "os elétrons antimateriais do universo vizinho". O bruto estava certo; a regressão é inteira do editor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§3, "Isso aqui são os Registros Akáshicos"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mantido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RC-548 aceita "akásicos (ou akáshicos)" [B075 p. 102]; no bruto, "registros acásicos ou acáxicos"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3. Falsos positivos e recusas (6 linhas recusada)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variante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proposta do motor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por que recusada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ainda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Brahma (RC-037)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ruído fonético: casa na superfície "anda" ("Brahma anda"). ainda é advérbio comum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universos paralelos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Universo Paralelo (RC-108)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flexão legítima: plural de uso comum. Flexionar não é corromper — mesmo caso de "Brama" no lote 01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bilhões de estrelas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Filhos das Estrelas (RC-222)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falso positivo por janela de palavras: o bruto faz aritmética ("3.000, 5.000 bilhões de estrelas")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cósmico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Quarentena Sideral / Cósmica (RC-342)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adjetivo comum em "ovo cósmico" (RC-034)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criador caiu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Tikun Cósmico (RC-514)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casa em "o eu do criador caiu aqui": narrativa, não o termo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dimensionais.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Val dos Corpos Perdidos / Dimensionados (RC-133)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candidato gerado no cabeçalho, não no corpo: o "guia de fontes" resumido do bruto diz "portais dimensionais". Fica como evidência do item 2 do parecer §9 — rc_diagnostico.py mede o arquivo inteiro quando não há marcador de corpo</w:t>
            </w:r>
          </w:p>
        </w:tc>
      </w:tr>
    </w:tbl>
    <w:p/>
    <w:p>
      <w:pPr>
        <w:jc w:val="both"/>
      </w:pPr>
      <w:r>
        <w:t xml:space="preserve">Protegidas (2): </w:t>
      </w:r>
      <w:r>
        <w:rPr>
          <w:rFonts w:ascii="Consolas" w:hAnsi="Consolas"/>
          <w:sz w:val="20"/>
        </w:rPr>
        <w:t>colmeia</w:t>
      </w:r>
      <w:r>
        <w:t xml:space="preserve"> — substituir por "Colmeia Universal" destruiria a frase, a forma do texto já</w:t>
      </w:r>
    </w:p>
    <w:p>
      <w:pPr>
        <w:jc w:val="both"/>
      </w:pPr>
      <w:r>
        <w:t xml:space="preserve">é a da família RC-174/176/953; </w:t>
      </w:r>
      <w:r>
        <w:rPr>
          <w:rFonts w:ascii="Consolas" w:hAnsi="Consolas"/>
          <w:sz w:val="20"/>
        </w:rPr>
        <w:t>YouTube</w:t>
      </w:r>
      <w:r>
        <w:t xml:space="preserve"> — entidade da camada 3, ocorrência no cabeçalho (URL).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4. Correções manuais não propostas pelo motor</w:t>
      </w:r>
    </w:p>
    <w:p>
      <w:pPr>
        <w:jc w:val="both"/>
      </w:pPr>
      <w:r>
        <w:t>Nenhuma das três regressões do editor foi proposta por qualquer régua da casa — todas foram achadas</w:t>
      </w:r>
    </w:p>
    <w:p>
      <w:pPr>
        <w:jc w:val="both"/>
      </w:pPr>
      <w:r>
        <w:t xml:space="preserve">conferindo o </w:t>
      </w:r>
      <w:r>
        <w:rPr>
          <w:rFonts w:ascii="Consolas" w:hAnsi="Consolas"/>
          <w:sz w:val="20"/>
        </w:rPr>
        <w:t>.docx</w:t>
      </w:r>
      <w:r>
        <w:t xml:space="preserve"> contra o bruto, palavra por palavra:</w:t>
      </w:r>
    </w:p>
    <w:p>
      <w:pPr>
        <w:pStyle w:val="ListNumber"/>
      </w:pPr>
      <w:r>
        <w:rPr>
          <w:rFonts w:ascii="Consolas" w:hAnsi="Consolas"/>
          <w:sz w:val="20"/>
        </w:rPr>
        <w:t>glues</w:t>
      </w:r>
      <w:r>
        <w:t xml:space="preserve"> → </w:t>
      </w:r>
      <w:r>
        <w:rPr>
          <w:b/>
        </w:rPr>
        <w:t>gluons</w:t>
      </w:r>
      <w:r>
        <w:t xml:space="preserve"> (RC-034)</w:t>
      </w:r>
    </w:p>
    <w:p>
      <w:pPr>
        <w:pStyle w:val="ListNumber"/>
      </w:pPr>
      <w:r>
        <w:rPr>
          <w:rFonts w:ascii="Consolas" w:hAnsi="Consolas"/>
          <w:sz w:val="20"/>
        </w:rPr>
        <w:t>pósetron</w:t>
      </w:r>
      <w:r>
        <w:t xml:space="preserve"> → </w:t>
      </w:r>
      <w:r>
        <w:rPr>
          <w:b/>
        </w:rPr>
        <w:t>pósitron</w:t>
      </w:r>
      <w:r>
        <w:t xml:space="preserve"> (RC-636/RC-161)</w:t>
      </w:r>
    </w:p>
    <w:p>
      <w:pPr>
        <w:pStyle w:val="ListNumber"/>
      </w:pPr>
      <w:r>
        <w:t xml:space="preserve">"hoje a parte" → "hoje </w:t>
      </w:r>
      <w:r>
        <w:rPr>
          <w:b/>
        </w:rPr>
        <w:t>à tarde</w:t>
      </w:r>
      <w:r>
        <w:t>" (atestado no bruto)</w:t>
      </w:r>
    </w:p>
    <w:p>
      <w:pPr>
        <w:jc w:val="both"/>
      </w:pPr>
      <w:r>
        <w:t xml:space="preserve">Mais três de ortografia/hífen que o motor não cobre: </w:t>
      </w:r>
      <w:r>
        <w:rPr>
          <w:i/>
        </w:rPr>
        <w:t>dia a dia</w:t>
      </w:r>
      <w:r>
        <w:t xml:space="preserve">, </w:t>
      </w:r>
      <w:r>
        <w:rPr>
          <w:i/>
        </w:rPr>
        <w:t>abelha-rainha</w:t>
      </w:r>
      <w:r>
        <w:t>,</w:t>
      </w:r>
    </w:p>
    <w:p>
      <w:pPr>
        <w:jc w:val="both"/>
      </w:pPr>
      <w:r>
        <w:rPr>
          <w:i/>
        </w:rPr>
        <w:t>preestabelecidas</w:t>
      </w:r>
      <w:r>
        <w:t xml:space="preserve">. É o argumento do parecer §9 pela </w:t>
      </w:r>
      <w:r>
        <w:rPr>
          <w:b/>
        </w:rPr>
        <w:t>varredura de formas quase-canônicas</w:t>
      </w:r>
      <w:r>
        <w:t>: uma</w:t>
      </w:r>
    </w:p>
    <w:p>
      <w:pPr>
        <w:jc w:val="both"/>
      </w:pPr>
      <w:r>
        <w:t>palavra que difere do canônico por uma letra ou um acento passa por legítima em G3, G5 e G6.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5. Decisões de forma (desvios documentados do Guia v2)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20"/>
              </w:rPr>
              <w:t>decisão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20"/>
              </w:rPr>
              <w:t>fundamento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Números por extenso mantidos ("3 mil", "5 mil", "Uns")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 bruto traz 3.000/5.000/un; a revisão normalizou sem alterar valor — permitido pela política de números do Guia §7. Nenhuma [NOTA] foi necessária porque não há divergência de valor, só de grafia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"lokas" em minúscula no corpo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prosa das próprias fichas grafa "as lokas" (RC-033, RC-038, RC-066). Guia §3 regra 7: não inventar maiúscula sem registro — aqui o registro é minúsculo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Disfluência LEVE: 1 remoção, 1 preservação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removido o falso início "pontes, pontes"; preservada a repetição enfática "O antimaterial é improvisado, tudo. Tudo é improvisado, início, meio e fim" (anáfora deliberada — Guia §10, coluna "preservar")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Marcadores orais preservados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então 8×, sabe 8×, tipo 4×, aí 2× — todos com função lexical ou idiomática ("sabe-se lá de onde", "Sabe uma colmeia…?", "um tipo de vitamina"). O Guia §10 proíbe converter oralidade em norma escrita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Um rótulo por bloco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monólogo de um só falante, 25 parágrafos: [JAN VAL ELLAM] abre cada bloco (Guia §9, opção B). Alexandre Sherminator é citado no encerramento mas não fala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Revisão externa não é derivado: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o portão G9 fiscaliza derivados de máquina. Este texto é revisão humana: a autoridade continua sendo o bruto, e a auditoria ficou no parecer, não nos metadados de derivado</w:t>
            </w:r>
          </w:p>
        </w:tc>
      </w:tr>
    </w:tbl>
    <w:p/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6. Ajustes nas ferramentas feitos durante esta revisão</w:t>
      </w:r>
    </w:p>
    <w:p>
      <w:pPr>
        <w:pStyle w:val="ListNumber"/>
      </w:pPr>
      <w:r>
        <w:rPr>
          <w:rFonts w:ascii="Consolas" w:hAnsi="Consolas"/>
          <w:b/>
          <w:sz w:val="20"/>
        </w:rPr>
        <w:t>ferramentas/rc_perfil_stt.py</w:t>
      </w:r>
      <w:r>
        <w:t xml:space="preserve"> — passou a medir o </w:t>
      </w:r>
      <w:r>
        <w:rPr>
          <w:b/>
        </w:rPr>
        <w:t>corpo</w:t>
      </w:r>
      <w:r>
        <w:t xml:space="preserve"> pelo critério único do</w:t>
      </w:r>
    </w:p>
    <w:p>
      <w:pPr>
        <w:jc w:val="both"/>
      </w:pPr>
      <w:r>
        <w:t xml:space="preserve">   </w:t>
      </w:r>
      <w:r>
        <w:rPr>
          <w:rFonts w:ascii="Consolas" w:hAnsi="Consolas"/>
          <w:sz w:val="20"/>
        </w:rPr>
        <w:t>rc_leitura.py</w:t>
      </w:r>
      <w:r>
        <w:t>, e não o arquivo inteiro. Era a terceira régua de corpo da casa e a mais</w:t>
      </w:r>
    </w:p>
    <w:p>
      <w:pPr>
        <w:jc w:val="both"/>
      </w:pPr>
      <w:r>
        <w:t xml:space="preserve">   perigosa, porque ninguém a via: no vídeo 2, o cabeçalho do bruto (o "guia de fontes" resumido,</w:t>
      </w:r>
    </w:p>
    <w:p>
      <w:pPr>
        <w:jc w:val="both"/>
      </w:pPr>
      <w:r>
        <w:t xml:space="preserve">   167 palavras pontuadas) contaminava a medição e o instrumento devolvia </w:t>
      </w:r>
      <w:r>
        <w:rPr>
          <w:b/>
        </w:rPr>
        <w:t>14,37%</w:t>
      </w:r>
      <w:r>
        <w:t xml:space="preserve"> de divergência</w:t>
      </w:r>
    </w:p>
    <w:p>
      <w:pPr>
        <w:jc w:val="both"/>
      </w:pPr>
      <w:r>
        <w:t xml:space="preserve">   onde o corpo tem </w:t>
      </w:r>
      <w:r>
        <w:rPr>
          <w:b/>
        </w:rPr>
        <w:t>8,12%</w:t>
      </w:r>
      <w:r>
        <w:t>, além de anunciar 6,6 sinais de pontuação por 1.000 palavras que o ASR</w:t>
      </w:r>
    </w:p>
    <w:p>
      <w:pPr>
        <w:jc w:val="both"/>
      </w:pPr>
      <w:r>
        <w:t xml:space="preserve">   nunca produziu. O eixo 4 continua olhando o arquivo inteiro (é a pergunta dele: "onde começa o</w:t>
      </w:r>
    </w:p>
    <w:p>
      <w:pPr>
        <w:jc w:val="both"/>
      </w:pPr>
      <w:r>
        <w:t xml:space="preserve">   corpo?"), agora com </w:t>
      </w:r>
      <w:r>
        <w:rPr>
          <w:rFonts w:ascii="Consolas" w:hAnsi="Consolas"/>
          <w:sz w:val="20"/>
        </w:rPr>
        <w:t>texto_integral</w:t>
      </w:r>
      <w:r>
        <w:t xml:space="preserve"> separado de </w:t>
      </w:r>
      <w:r>
        <w:rPr>
          <w:rFonts w:ascii="Consolas" w:hAnsi="Consolas"/>
          <w:sz w:val="20"/>
        </w:rPr>
        <w:t>texto</w:t>
      </w:r>
      <w:r>
        <w:t>.</w:t>
      </w:r>
    </w:p>
    <w:p>
      <w:pPr>
        <w:pStyle w:val="ListNumber"/>
      </w:pPr>
      <w:r>
        <w:rPr>
          <w:rFonts w:ascii="Consolas" w:hAnsi="Consolas"/>
          <w:b/>
          <w:sz w:val="20"/>
        </w:rPr>
        <w:t>docs/normas/guia-revisao-v2.md</w:t>
      </w:r>
      <w:r>
        <w:rPr>
          <w:b/>
        </w:rPr>
        <w:t xml:space="preserve"> §13.1</w:t>
      </w:r>
      <w:r>
        <w:t xml:space="preserve"> — o comando do diagnóstico ensinava</w:t>
      </w:r>
    </w:p>
    <w:p>
      <w:pPr>
        <w:jc w:val="both"/>
      </w:pPr>
      <w:r>
        <w:t xml:space="preserve">   </w:t>
      </w:r>
      <w:r>
        <w:rPr>
          <w:rFonts w:ascii="Consolas" w:hAnsi="Consolas"/>
          <w:sz w:val="20"/>
        </w:rPr>
        <w:t>--saida "transcricoes/&lt;slug&gt;"</w:t>
      </w:r>
      <w:r>
        <w:t>, que joga os arquivos na raiz da pasta e deixa</w:t>
      </w:r>
    </w:p>
    <w:p>
      <w:pPr>
        <w:jc w:val="both"/>
      </w:pPr>
      <w:r>
        <w:t xml:space="preserve">   </w:t>
      </w:r>
      <w:r>
        <w:rPr>
          <w:rFonts w:ascii="Consolas" w:hAnsi="Consolas"/>
          <w:sz w:val="20"/>
        </w:rPr>
        <w:t>diagnostico.json</w:t>
      </w:r>
      <w:r>
        <w:t xml:space="preserve"> (135 KB regeneráveis) </w:t>
      </w:r>
      <w:r>
        <w:rPr>
          <w:b/>
        </w:rPr>
        <w:t>fora</w:t>
      </w:r>
      <w:r>
        <w:t xml:space="preserve"> do padrão do </w:t>
      </w:r>
      <w:r>
        <w:rPr>
          <w:rFonts w:ascii="Consolas" w:hAnsi="Consolas"/>
          <w:sz w:val="20"/>
        </w:rPr>
        <w:t>.gitignore</w:t>
      </w:r>
      <w:r>
        <w:t>. Corrigido para rodar</w:t>
      </w:r>
    </w:p>
    <w:p>
      <w:pPr>
        <w:jc w:val="both"/>
      </w:pPr>
      <w:r>
        <w:t xml:space="preserve">   sem </w:t>
      </w:r>
      <w:r>
        <w:rPr>
          <w:rFonts w:ascii="Consolas" w:hAnsi="Consolas"/>
          <w:sz w:val="20"/>
        </w:rPr>
        <w:t>--saida</w:t>
      </w:r>
      <w:r>
        <w:t xml:space="preserve">: a ferramenta descobre </w:t>
      </w:r>
      <w:r>
        <w:rPr>
          <w:rFonts w:ascii="Consolas" w:hAnsi="Consolas"/>
          <w:sz w:val="20"/>
        </w:rPr>
        <w:t>10-diagnostico/</w:t>
      </w:r>
      <w:r>
        <w:t xml:space="preserve"> a partir do caminho do bruto.</w:t>
      </w:r>
    </w:p>
    <w:p>
      <w:pPr>
        <w:jc w:val="both"/>
      </w:pPr>
      <w:r>
        <w:t xml:space="preserve">Testes após os dois ajustes: </w:t>
      </w:r>
      <w:r>
        <w:rPr>
          <w:b/>
        </w:rPr>
        <w:t>154 verificações, 0 falhas</w:t>
      </w:r>
      <w:r>
        <w:t>.</w:t>
      </w:r>
    </w:p>
    <w:p>
      <w:pPr>
        <w:pStyle w:val="Heading2"/>
        <w:keepNext/>
        <w:spacing w:before="200"/>
      </w:pPr>
      <w:r>
        <w:rPr>
          <w:rFonts w:ascii="Calibri" w:hAnsi="Calibri"/>
          <w:b/>
          <w:color w:val="1F3B57"/>
          <w:sz w:val="24"/>
        </w:rPr>
        <w:t>7. O que esta revisão NÃO fez</w:t>
      </w:r>
    </w:p>
    <w:p>
      <w:pPr>
        <w:pStyle w:val="ListBullet"/>
        <w:ind w:left="360"/>
      </w:pPr>
      <w:r>
        <w:rPr>
          <w:b/>
        </w:rPr>
        <w:t>Não censurou nada.</w:t>
      </w:r>
      <w:r>
        <w:t xml:space="preserve"> Zero tokens mascarados com </w:t>
      </w:r>
      <w:r>
        <w:rPr>
          <w:rFonts w:ascii="Consolas" w:hAnsi="Consolas"/>
          <w:sz w:val="20"/>
        </w:rPr>
        <w:t>*</w:t>
      </w:r>
      <w:r>
        <w:t xml:space="preserve"> no bruto e na revisão; as sondas</w:t>
      </w:r>
    </w:p>
    <w:p>
      <w:pPr>
        <w:jc w:val="both"/>
      </w:pPr>
      <w:r>
        <w:t xml:space="preserve">  (</w:t>
      </w:r>
      <w:r>
        <w:rPr>
          <w:i/>
        </w:rPr>
        <w:t>diabos</w:t>
      </w:r>
      <w:r>
        <w:t xml:space="preserve">, </w:t>
      </w:r>
      <w:r>
        <w:rPr>
          <w:i/>
        </w:rPr>
        <w:t>esculhamb-</w:t>
      </w:r>
      <w:r>
        <w:t xml:space="preserve">, </w:t>
      </w:r>
      <w:r>
        <w:rPr>
          <w:i/>
        </w:rPr>
        <w:t>cretiniz-</w:t>
      </w:r>
      <w:r>
        <w:t xml:space="preserve">, </w:t>
      </w:r>
      <w:r>
        <w:rPr>
          <w:i/>
        </w:rPr>
        <w:t>imbeciliz-</w:t>
      </w:r>
      <w:r>
        <w:t xml:space="preserve">, </w:t>
      </w:r>
      <w:r>
        <w:rPr>
          <w:i/>
        </w:rPr>
        <w:t>coelhos</w:t>
      </w:r>
      <w:r>
        <w:t>) estão preservadas nos dois lados.</w:t>
      </w:r>
    </w:p>
    <w:p>
      <w:pPr>
        <w:jc w:val="both"/>
      </w:pPr>
      <w:r>
        <w:t xml:space="preserve">  O "o que diabos é isso" do bloco 1 e o "esculhambassem" do bloco 2 estão no produto.</w:t>
      </w:r>
    </w:p>
    <w:p>
      <w:pPr>
        <w:pStyle w:val="ListBullet"/>
        <w:ind w:left="360"/>
      </w:pPr>
      <w:r>
        <w:rPr>
          <w:b/>
        </w:rPr>
        <w:t>Não reescreveu.</w:t>
      </w:r>
      <w:r>
        <w:t xml:space="preserve"> Nenhuma reordenação de palavra, nenhum conectivo trocado, nenhuma oralidade</w:t>
      </w:r>
    </w:p>
    <w:p>
      <w:pPr>
        <w:jc w:val="both"/>
      </w:pPr>
      <w:r>
        <w:t xml:space="preserve">  convertida em norma escrita. A sintaxe do autor ficou como o revisor externo a deixou.</w:t>
      </w:r>
    </w:p>
    <w:p>
      <w:pPr>
        <w:pStyle w:val="ListBullet"/>
        <w:ind w:left="360"/>
      </w:pPr>
      <w:r>
        <w:rPr>
          <w:b/>
        </w:rPr>
        <w:t xml:space="preserve">Não marcou </w:t>
      </w:r>
      <w:r>
        <w:rPr>
          <w:rFonts w:ascii="Consolas" w:hAnsi="Consolas"/>
          <w:b/>
          <w:sz w:val="20"/>
        </w:rPr>
        <w:t>[A CONFIRMAR]</w:t>
      </w:r>
      <w:r>
        <w:rPr>
          <w:b/>
        </w:rPr>
        <w:t xml:space="preserve"> nem </w:t>
      </w:r>
      <w:r>
        <w:rPr>
          <w:rFonts w:ascii="Consolas" w:hAnsi="Consolas"/>
          <w:b/>
          <w:sz w:val="20"/>
        </w:rPr>
        <w:t>[INAUDÍVEL]</w:t>
      </w:r>
      <w:r>
        <w:rPr>
          <w:b/>
        </w:rPr>
        <w:t>.</w:t>
      </w:r>
      <w:r>
        <w:t xml:space="preserve"> Não há trecho duvidoso: o bruto oficial é</w:t>
      </w:r>
    </w:p>
    <w:p>
      <w:pPr>
        <w:jc w:val="both"/>
      </w:pPr>
      <w:r>
        <w:t xml:space="preserve">  completo, do primeiro ao último enunciado, e a revisão cobre os dois extremos.</w:t>
      </w:r>
    </w:p>
    <w:p>
      <w:pPr>
        <w:pStyle w:val="ListBullet"/>
        <w:ind w:left="360"/>
      </w:pPr>
      <w:r>
        <w:rPr>
          <w:b/>
        </w:rPr>
        <w:t>Não comparou motores.</w:t>
      </w:r>
      <w:r>
        <w:t xml:space="preserve"> Por despacho, o vídeo 2 entrou como </w:t>
      </w:r>
      <w:r>
        <w:rPr>
          <w:b/>
        </w:rPr>
        <w:t>esteira normal</w:t>
      </w:r>
      <w:r>
        <w:t>; a auditoria da</w:t>
      </w:r>
    </w:p>
    <w:p>
      <w:pPr>
        <w:jc w:val="both"/>
      </w:pPr>
      <w:r>
        <w:t xml:space="preserve">  revisão externa ficou registrada no parecer, fora do fluxo.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