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40"/>
        </w:rPr>
        <w:t>Adjudicação — livro-razão da revisão</w:t>
      </w:r>
    </w:p>
    <w:p>
      <w:pPr>
        <w:jc w:val="center"/>
      </w:pPr>
      <w:r>
        <w:rPr>
          <w:i/>
          <w:color w:val="555555"/>
          <w:sz w:val="22"/>
        </w:rPr>
        <w:t>Revelações Cósmicas Urgente — Jan Val Ellam · 98 linhas decididas · 16/09/2026</w:t>
      </w:r>
    </w:p>
    <w:p/>
    <w:p>
      <w:pPr>
        <w:pStyle w:val="Heading1"/>
        <w:keepNext/>
        <w:spacing w:before="280"/>
      </w:pPr>
      <w:r>
        <w:rPr>
          <w:rFonts w:ascii="Calibri" w:hAnsi="Calibri"/>
          <w:b/>
          <w:color w:val="1F3B57"/>
          <w:sz w:val="32"/>
        </w:rPr>
        <w:t>Adjudicação — Revelações Cósmicas Urgente (Jan Val Ellam)</w:t>
      </w:r>
    </w:p>
    <w:p>
      <w:pPr>
        <w:jc w:val="both"/>
      </w:pPr>
      <w:r>
        <w:rPr>
          <w:b/>
        </w:rPr>
        <w:t>Transcrição revisada:</w:t>
      </w:r>
      <w:r>
        <w:t xml:space="preserve"> </w:t>
      </w:r>
      <w:r>
        <w:rPr>
          <w:rFonts w:ascii="Consolas" w:hAnsi="Consolas"/>
          <w:sz w:val="20"/>
        </w:rPr>
        <w:t>00-fonte/transcricao-bruta.txt</w:t>
      </w:r>
      <w:r>
        <w:t xml:space="preserve"> · corpo na linha 13 (índice 12) · 18.806 palavras · 101.468 caracteres · sem pontuação (STT puro).</w:t>
      </w:r>
    </w:p>
    <w:p>
      <w:pPr>
        <w:jc w:val="both"/>
      </w:pPr>
      <w:r>
        <w:rPr>
          <w:b/>
        </w:rPr>
        <w:t>Produtos:</w:t>
      </w:r>
      <w:r>
        <w:t xml:space="preserve"> </w:t>
      </w:r>
      <w:r>
        <w:rPr>
          <w:rFonts w:ascii="Consolas" w:hAnsi="Consolas"/>
          <w:sz w:val="20"/>
        </w:rPr>
        <w:t>20-blocos/bloco-01.md</w:t>
      </w:r>
      <w:r>
        <w:t xml:space="preserve"> … </w:t>
      </w:r>
      <w:r>
        <w:rPr>
          <w:rFonts w:ascii="Consolas" w:hAnsi="Consolas"/>
          <w:sz w:val="20"/>
        </w:rPr>
        <w:t>20-blocos/bloco-08.md</w:t>
      </w:r>
      <w:r>
        <w:t xml:space="preserve"> (143 parágrafos, 18.966 palavras de texto corrido, 32 </w:t>
      </w:r>
      <w:r>
        <w:rPr>
          <w:rFonts w:ascii="Consolas" w:hAnsi="Consolas"/>
          <w:sz w:val="20"/>
        </w:rPr>
        <w:t>[NOTA]</w:t>
      </w:r>
      <w:r>
        <w:t xml:space="preserve">, 24 </w:t>
      </w:r>
      <w:r>
        <w:rPr>
          <w:rFonts w:ascii="Consolas" w:hAnsi="Consolas"/>
          <w:sz w:val="20"/>
        </w:rPr>
        <w:t>[A CONFIRMAR]</w:t>
      </w:r>
      <w:r>
        <w:t xml:space="preserve">, 14 </w:t>
      </w:r>
      <w:r>
        <w:rPr>
          <w:rFonts w:ascii="Consolas" w:hAnsi="Consolas"/>
          <w:sz w:val="20"/>
        </w:rPr>
        <w:t>[INAUDÍVEL]</w:t>
      </w:r>
      <w:r>
        <w:t>).</w:t>
      </w:r>
    </w:p>
    <w:p>
      <w:pPr>
        <w:jc w:val="both"/>
      </w:pPr>
      <w:r>
        <w:rPr>
          <w:b/>
        </w:rPr>
        <w:t>Data:</w:t>
      </w:r>
      <w:r>
        <w:t xml:space="preserve"> 16 de setembro de 2026 · </w:t>
      </w:r>
      <w:r>
        <w:rPr>
          <w:b/>
        </w:rPr>
        <w:t>Elaboração:</w:t>
      </w:r>
      <w:r>
        <w:t xml:space="preserve"> Agente 86.</w:t>
      </w:r>
    </w:p>
    <w:p>
      <w:pPr>
        <w:jc w:val="both"/>
      </w:pPr>
      <w:r>
        <w:rPr>
          <w:b/>
        </w:rPr>
        <w:t>Regra de ouro aplicada em todo o log:</w:t>
      </w:r>
      <w:r>
        <w:t xml:space="preserve"> </w:t>
      </w:r>
      <w:r>
        <w:rPr>
          <w:i/>
        </w:rPr>
        <w:t>nenhuma palavra da base pode ser substituída por outra, salvo adjudicação explícita e justificada</w:t>
      </w:r>
      <w:r>
        <w:t xml:space="preserve"> (</w:t>
      </w:r>
      <w:r>
        <w:rPr>
          <w:rFonts w:ascii="Consolas" w:hAnsi="Consolas"/>
          <w:sz w:val="20"/>
        </w:rPr>
        <w:t>docs/normas/guia-revisao-v2.md</w:t>
      </w:r>
      <w:r>
        <w:t xml:space="preserve"> §10 e §13).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1. Fila automática (motor rc_diagnostico.py + rc_lexicon.py)</w:t>
      </w:r>
    </w:p>
    <w:p>
      <w:pPr>
        <w:jc w:val="both"/>
      </w:pPr>
      <w:r>
        <w:t xml:space="preserve">O motor produziu </w:t>
      </w:r>
      <w:r>
        <w:rPr>
          <w:b/>
        </w:rPr>
        <w:t>98 linhas</w:t>
      </w:r>
      <w:r>
        <w:t xml:space="preserve"> em </w:t>
      </w:r>
      <w:r>
        <w:rPr>
          <w:rFonts w:ascii="Consolas" w:hAnsi="Consolas"/>
          <w:sz w:val="20"/>
        </w:rPr>
        <w:t>10-diagnostico/variantes-propostas.csv</w:t>
      </w:r>
      <w:r>
        <w:t xml:space="preserve"> a partir das sementes de </w:t>
      </w:r>
      <w:r>
        <w:rPr>
          <w:rFonts w:ascii="Consolas" w:hAnsi="Consolas"/>
          <w:sz w:val="20"/>
        </w:rPr>
        <w:t>ferramentas/dados/sementes-variantes-stt.csv</w:t>
      </w:r>
      <w:r>
        <w:t xml:space="preserve"> e de </w:t>
      </w:r>
      <w:r>
        <w:rPr>
          <w:rFonts w:ascii="Consolas" w:hAnsi="Consolas"/>
          <w:sz w:val="20"/>
        </w:rPr>
        <w:t>ferramentas/dados/externos.csv</w:t>
      </w:r>
      <w:r>
        <w:t xml:space="preserve"> (37 entidades). Na etapa de semeadura, </w:t>
      </w:r>
      <w:r>
        <w:rPr>
          <w:b/>
        </w:rPr>
        <w:t>32 sementes foram atingidas</w:t>
      </w:r>
      <w:r>
        <w:t xml:space="preserve"> e </w:t>
      </w:r>
      <w:r>
        <w:rPr>
          <w:b/>
        </w:rPr>
        <w:t>11 ficaram suspensas</w:t>
      </w:r>
      <w:r>
        <w:t xml:space="preserve"> por homografia, vocabulário comum ou colisão com a camada Externos: </w:t>
      </w:r>
      <w:r>
        <w:rPr>
          <w:i/>
        </w:rPr>
        <w:t>Nick</w:t>
      </w:r>
      <w:r>
        <w:t xml:space="preserve"> (→ Nyx), </w:t>
      </w:r>
      <w:r>
        <w:rPr>
          <w:i/>
        </w:rPr>
        <w:t>Terra Atlântis</w:t>
      </w:r>
      <w:r>
        <w:t xml:space="preserve">, </w:t>
      </w:r>
      <w:r>
        <w:rPr>
          <w:i/>
        </w:rPr>
        <w:t>Alamaior</w:t>
      </w:r>
      <w:r>
        <w:t xml:space="preserve">, </w:t>
      </w:r>
      <w:r>
        <w:rPr>
          <w:i/>
        </w:rPr>
        <w:t>Tempérium</w:t>
      </w:r>
      <w:r>
        <w:t xml:space="preserve">, </w:t>
      </w:r>
      <w:r>
        <w:rPr>
          <w:i/>
        </w:rPr>
        <w:t>a vista</w:t>
      </w:r>
      <w:r>
        <w:t xml:space="preserve"> (→ Avesta), </w:t>
      </w:r>
      <w:r>
        <w:rPr>
          <w:i/>
        </w:rPr>
        <w:t>Cristo</w:t>
      </w:r>
      <w:r>
        <w:t xml:space="preserve"> (→ Krishna), </w:t>
      </w:r>
      <w:r>
        <w:rPr>
          <w:i/>
        </w:rPr>
        <w:t>Virgem</w:t>
      </w:r>
      <w:r>
        <w:t xml:space="preserve"> (→ RC-104 Vishnu), </w:t>
      </w:r>
      <w:r>
        <w:rPr>
          <w:i/>
        </w:rPr>
        <w:t>Get</w:t>
      </w:r>
      <w:r>
        <w:t xml:space="preserve">, </w:t>
      </w:r>
      <w:r>
        <w:rPr>
          <w:i/>
        </w:rPr>
        <w:t>J</w:t>
      </w:r>
      <w:r>
        <w:t xml:space="preserve"> isolado, </w:t>
      </w:r>
      <w:r>
        <w:rPr>
          <w:i/>
        </w:rPr>
        <w:t>as reais</w:t>
      </w:r>
      <w:r>
        <w:t xml:space="preserve"> (ambiguidade com "reais" monetários), </w:t>
      </w:r>
      <w:r>
        <w:rPr>
          <w:i/>
        </w:rPr>
        <w:t>era dos humanos</w:t>
      </w:r>
      <w:r>
        <w:t>.</w:t>
      </w:r>
    </w:p>
    <w:p>
      <w:pPr>
        <w:jc w:val="both"/>
      </w:pPr>
      <w:r>
        <w:t xml:space="preserve">Cada uma das 98 linhas recebeu decisão humana explícita, gravada nas colunas </w:t>
      </w:r>
      <w:r>
        <w:rPr>
          <w:rFonts w:ascii="Consolas" w:hAnsi="Consolas"/>
          <w:b/>
          <w:sz w:val="20"/>
        </w:rPr>
        <w:t>adjudicacao</w:t>
      </w:r>
      <w:r>
        <w:t xml:space="preserve"> e </w:t>
      </w:r>
      <w:r>
        <w:rPr>
          <w:rFonts w:ascii="Consolas" w:hAnsi="Consolas"/>
          <w:b/>
          <w:sz w:val="20"/>
        </w:rPr>
        <w:t>motivo_adjudicacao</w:t>
      </w:r>
      <w:r>
        <w:t xml:space="preserve"> do próprio CSV — é o livro-razão desta revisão: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Decisão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Linhas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Significado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aceita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variante substituída pelo canônico; não sobrevive no texto revisado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aceita-parcial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aplicada onde cabe; ocorrências residuais são legítimas (topônimo, citação direta, 1ª menção)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recusada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falso positivo do motor, flexão legítima ou alvo errado — ver §3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informativa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registro de artigo/flexão; não gera substituição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protecao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variante e canônico coincidem: a semente existe para impedir outra substituição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superada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resolvida pelo despacho do Comandante (Sherminetro → Alexandre Sherminator)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REVISAR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nenhuma linha ficou sem decisão</w:t>
            </w:r>
          </w:p>
        </w:tc>
      </w:tr>
    </w:tbl>
    <w:p/>
    <w:p>
      <w:pPr>
        <w:jc w:val="both"/>
      </w:pPr>
      <w:r>
        <w:t xml:space="preserve">O validador de QA do </w:t>
      </w:r>
      <w:r>
        <w:rPr>
          <w:rFonts w:ascii="Consolas" w:hAnsi="Consolas"/>
          <w:sz w:val="20"/>
        </w:rPr>
        <w:t>rc_docx.py</w:t>
      </w:r>
      <w:r>
        <w:t xml:space="preserve"> foi ajustado para cobrar apenas as linhas </w:t>
      </w:r>
      <w:r>
        <w:rPr>
          <w:rFonts w:ascii="Consolas" w:hAnsi="Consolas"/>
          <w:b/>
          <w:sz w:val="20"/>
        </w:rPr>
        <w:t>aceita</w:t>
      </w:r>
      <w:r>
        <w:t xml:space="preserve"> (antes cobrava toda linha </w:t>
      </w:r>
      <w:r>
        <w:rPr>
          <w:rFonts w:ascii="Consolas" w:hAnsi="Consolas"/>
          <w:sz w:val="20"/>
        </w:rPr>
        <w:t>aprovada</w:t>
      </w:r>
      <w:r>
        <w:t>/</w:t>
      </w:r>
      <w:r>
        <w:rPr>
          <w:rFonts w:ascii="Consolas" w:hAnsi="Consolas"/>
          <w:sz w:val="20"/>
        </w:rPr>
        <w:t>proposta</w:t>
      </w:r>
      <w:r>
        <w:t>, o que incluía os 20 falsos positivos recusados — ver §5.1).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2. Correções aceitas por bloco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Bloco 1 — abertura, anúncio e o problema das IAs</w:t>
      </w:r>
    </w:p>
    <w:p>
      <w:pPr>
        <w:pStyle w:val="ListBullet"/>
        <w:ind w:left="360"/>
      </w:pPr>
      <w:r>
        <w:t xml:space="preserve">Jan Vaillan / Jean Valan → </w:t>
      </w:r>
      <w:r>
        <w:rPr>
          <w:b/>
        </w:rPr>
        <w:t>Jan Val Ellam</w:t>
      </w:r>
      <w:r>
        <w:t xml:space="preserve"> (registro do autor).</w:t>
      </w:r>
    </w:p>
    <w:p>
      <w:pPr>
        <w:pStyle w:val="ListBullet"/>
        <w:ind w:left="360"/>
      </w:pPr>
      <w:r>
        <w:t xml:space="preserve">Sherminetro / Sherminate → </w:t>
      </w:r>
      <w:r>
        <w:rPr>
          <w:b/>
        </w:rPr>
        <w:t>Alexandre Sherminator</w:t>
      </w:r>
      <w:r>
        <w:t xml:space="preserve"> — </w:t>
      </w:r>
      <w:r>
        <w:rPr>
          <w:i/>
        </w:rPr>
        <w:t>despacho do Comandante, 16/09/2026</w:t>
      </w:r>
      <w:r>
        <w:t>.</w:t>
      </w:r>
    </w:p>
    <w:p>
      <w:pPr>
        <w:pStyle w:val="ListBullet"/>
        <w:ind w:left="360"/>
      </w:pPr>
      <w:r>
        <w:t xml:space="preserve">Emanuel Kant → </w:t>
      </w:r>
      <w:r>
        <w:rPr>
          <w:b/>
        </w:rPr>
        <w:t>Immanuel Kant</w:t>
      </w:r>
      <w:r>
        <w:t xml:space="preserve"> (externo).</w:t>
      </w:r>
    </w:p>
    <w:p>
      <w:pPr>
        <w:pStyle w:val="ListBullet"/>
        <w:ind w:left="360"/>
      </w:pPr>
      <w:r>
        <w:t xml:space="preserve">Qcode / Qcodes → </w:t>
      </w:r>
      <w:r>
        <w:rPr>
          <w:b/>
        </w:rPr>
        <w:t>QR code</w:t>
      </w:r>
      <w:r>
        <w:t>.</w:t>
      </w:r>
    </w:p>
    <w:p>
      <w:pPr>
        <w:pStyle w:val="ListBullet"/>
        <w:ind w:left="360"/>
      </w:pPr>
      <w:r>
        <w:t>Anúncio da Insider preservado integralmente no corpo (40% de desconto, cupom PARANORMAL) — decisão editorial do Comandante.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Bloco 2 — filosofia, religião e o parasitismo de Javé</w:t>
      </w:r>
    </w:p>
    <w:p>
      <w:pPr>
        <w:pStyle w:val="ListBullet"/>
        <w:ind w:left="360"/>
      </w:pPr>
      <w:r>
        <w:t xml:space="preserve">Yahé / Jahé → </w:t>
      </w:r>
      <w:r>
        <w:rPr>
          <w:b/>
        </w:rPr>
        <w:t>Javé</w:t>
      </w:r>
      <w:r>
        <w:t xml:space="preserve"> (RC-001).</w:t>
      </w:r>
    </w:p>
    <w:p>
      <w:pPr>
        <w:pStyle w:val="ListBullet"/>
        <w:ind w:left="360"/>
      </w:pPr>
      <w:r>
        <w:t xml:space="preserve">Thomas Robs → </w:t>
      </w:r>
      <w:r>
        <w:rPr>
          <w:b/>
        </w:rPr>
        <w:t>Thomas Hobbes</w:t>
      </w:r>
      <w:r>
        <w:t>.</w:t>
      </w:r>
    </w:p>
    <w:p>
      <w:pPr>
        <w:pStyle w:val="ListBullet"/>
        <w:ind w:left="360"/>
      </w:pPr>
      <w:r>
        <w:t xml:space="preserve">Agostinho de Pona → </w:t>
      </w:r>
      <w:r>
        <w:rPr>
          <w:b/>
        </w:rPr>
        <w:t>Agostinho de Hipona</w:t>
      </w:r>
      <w:r>
        <w:t>.</w:t>
      </w:r>
    </w:p>
    <w:p>
      <w:pPr>
        <w:pStyle w:val="ListBullet"/>
        <w:ind w:left="360"/>
      </w:pPr>
      <w:r>
        <w:t xml:space="preserve">Mary Chiley → </w:t>
      </w:r>
      <w:r>
        <w:rPr>
          <w:b/>
        </w:rPr>
        <w:t>Mary Shelley</w:t>
      </w:r>
      <w:r>
        <w:t xml:space="preserve">; Dr frankstein → </w:t>
      </w:r>
      <w:r>
        <w:rPr>
          <w:b/>
          <w:i/>
        </w:rPr>
        <w:t>Frankenstein</w:t>
      </w:r>
      <w:r>
        <w:t xml:space="preserve"> (corroborado pela KB: "o Frankenstein de Shelley").</w:t>
      </w:r>
    </w:p>
    <w:p>
      <w:pPr>
        <w:pStyle w:val="ListBullet"/>
        <w:ind w:left="360"/>
      </w:pPr>
      <w:r>
        <w:t xml:space="preserve">Brama → </w:t>
      </w:r>
      <w:r>
        <w:rPr>
          <w:b/>
        </w:rPr>
        <w:t>Brahma</w:t>
      </w:r>
      <w:r>
        <w:t xml:space="preserve"> (RC-037; Quarentena </w:t>
      </w:r>
      <w:r>
        <w:rPr>
          <w:rFonts w:ascii="Consolas" w:hAnsi="Consolas"/>
          <w:sz w:val="20"/>
        </w:rPr>
        <w:t>NUNCA "Brama"</w:t>
      </w:r>
      <w:r>
        <w:t>).</w:t>
      </w:r>
    </w:p>
    <w:p>
      <w:pPr>
        <w:pStyle w:val="ListBullet"/>
        <w:ind w:left="360"/>
      </w:pPr>
      <w:r>
        <w:t xml:space="preserve">Virgin / Chiva → </w:t>
      </w:r>
      <w:r>
        <w:rPr>
          <w:b/>
        </w:rPr>
        <w:t>Vishnu / Shiva</w:t>
      </w:r>
      <w:r>
        <w:t xml:space="preserve"> (RC-104, RC-102).</w:t>
      </w:r>
    </w:p>
    <w:p>
      <w:pPr>
        <w:pStyle w:val="ListBullet"/>
        <w:ind w:left="360"/>
      </w:pPr>
      <w:r>
        <w:t xml:space="preserve">Demiurg → </w:t>
      </w:r>
      <w:r>
        <w:rPr>
          <w:b/>
        </w:rPr>
        <w:t>Demiurgo</w:t>
      </w:r>
      <w:r>
        <w:t xml:space="preserve"> (RC-048).</w:t>
      </w:r>
    </w:p>
    <w:p>
      <w:pPr>
        <w:pStyle w:val="ListBullet"/>
        <w:ind w:left="360"/>
      </w:pPr>
      <w:r>
        <w:t xml:space="preserve">enoteísmo → </w:t>
      </w:r>
      <w:r>
        <w:rPr>
          <w:b/>
        </w:rPr>
        <w:t>henoteísmo</w:t>
      </w:r>
      <w:r>
        <w:t>.</w:t>
      </w:r>
    </w:p>
    <w:p>
      <w:pPr>
        <w:pStyle w:val="ListBullet"/>
        <w:ind w:left="360"/>
      </w:pPr>
      <w:r>
        <w:t xml:space="preserve">constituição centenária → </w:t>
      </w:r>
      <w:r>
        <w:rPr>
          <w:b/>
        </w:rPr>
        <w:t>constituição setenária</w:t>
      </w:r>
      <w:r>
        <w:t>.</w:t>
      </w:r>
    </w:p>
    <w:p>
      <w:pPr>
        <w:pStyle w:val="ListBullet"/>
        <w:ind w:left="360"/>
      </w:pPr>
      <w:r>
        <w:t xml:space="preserve">Sidarta / "jardim da mente" → </w:t>
      </w:r>
      <w:r>
        <w:rPr>
          <w:b/>
        </w:rPr>
        <w:t>Siddhartha Gautama</w:t>
      </w:r>
      <w:r>
        <w:t xml:space="preserve"> — </w:t>
      </w:r>
      <w:r>
        <w:rPr>
          <w:i/>
        </w:rPr>
        <w:t>despacho do Comandante, 16/09/2026</w:t>
      </w:r>
      <w:r>
        <w:t>.</w:t>
      </w:r>
    </w:p>
    <w:p>
      <w:pPr>
        <w:pStyle w:val="ListBullet"/>
        <w:ind w:left="360"/>
      </w:pPr>
      <w:r>
        <w:rPr>
          <w:b/>
        </w:rPr>
        <w:t>Correção tardia aplicada após o QA:</w:t>
      </w:r>
      <w:r>
        <w:t xml:space="preserve"> "Xavé" → </w:t>
      </w:r>
      <w:r>
        <w:rPr>
          <w:b/>
        </w:rPr>
        <w:t>Javé</w:t>
      </w:r>
      <w:r>
        <w:t xml:space="preserve">, com </w:t>
      </w:r>
      <w:r>
        <w:rPr>
          <w:rFonts w:ascii="Consolas" w:hAnsi="Consolas"/>
          <w:sz w:val="20"/>
        </w:rPr>
        <w:t>[NOTA]</w:t>
      </w:r>
      <w:r>
        <w:t xml:space="preserve"> documentando a variante. O QA final confirmou que a única ocorrência residual de "Xavé" está dentro da NOTA, citando o bruto (comportamento correto).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Bloco 3 — mitologias, /Kaggen e o evento de Terry Fabris</w:t>
      </w:r>
    </w:p>
    <w:p>
      <w:pPr>
        <w:pStyle w:val="ListBullet"/>
        <w:ind w:left="360"/>
      </w:pPr>
      <w:r>
        <w:t xml:space="preserve">Kaagen / kaagem → </w:t>
      </w:r>
      <w:r>
        <w:rPr>
          <w:b/>
        </w:rPr>
        <w:t>/Kaggen</w:t>
      </w:r>
      <w:r>
        <w:t xml:space="preserve"> — validado externamente (Bleek e Lloyd, San do Kalahari; consulta 16/09/2026). Proposto como novo termo e como variação de RC-001.</w:t>
      </w:r>
    </w:p>
    <w:p>
      <w:pPr>
        <w:pStyle w:val="ListBullet"/>
        <w:ind w:left="360"/>
      </w:pPr>
      <w:r>
        <w:t xml:space="preserve">Ganexa → </w:t>
      </w:r>
      <w:r>
        <w:rPr>
          <w:b/>
        </w:rPr>
        <w:t>Ganesha</w:t>
      </w:r>
      <w:r>
        <w:t xml:space="preserve"> (RC-756).</w:t>
      </w:r>
    </w:p>
    <w:p>
      <w:pPr>
        <w:pStyle w:val="ListBullet"/>
        <w:ind w:left="360"/>
      </w:pPr>
      <w:r>
        <w:t xml:space="preserve">avaloque texwara → </w:t>
      </w:r>
      <w:r>
        <w:rPr>
          <w:b/>
        </w:rPr>
        <w:t>Avalokiteshvara</w:t>
      </w:r>
      <w:r>
        <w:t xml:space="preserve"> — proposto como novo termo.</w:t>
      </w:r>
    </w:p>
    <w:p>
      <w:pPr>
        <w:pStyle w:val="ListBullet"/>
        <w:ind w:left="360"/>
      </w:pPr>
      <w:r>
        <w:t xml:space="preserve">Tirtancara → </w:t>
      </w:r>
      <w:r>
        <w:rPr>
          <w:b/>
        </w:rPr>
        <w:t>Tirthankaras</w:t>
      </w:r>
      <w:r>
        <w:t xml:space="preserve"> (RC-397).</w:t>
      </w:r>
    </w:p>
    <w:p>
      <w:pPr>
        <w:pStyle w:val="ListBullet"/>
        <w:ind w:left="360"/>
      </w:pPr>
      <w:r>
        <w:t xml:space="preserve">Tom Teltan → mantido com </w:t>
      </w:r>
      <w:r>
        <w:rPr>
          <w:rFonts w:ascii="Consolas" w:hAnsi="Consolas"/>
          <w:sz w:val="20"/>
        </w:rPr>
        <w:t>[A CONFIRMAR]</w:t>
      </w:r>
      <w:r>
        <w:t xml:space="preserve"> — proposto como novo termo.</w:t>
      </w:r>
    </w:p>
    <w:p>
      <w:pPr>
        <w:pStyle w:val="ListBullet"/>
        <w:ind w:left="360"/>
      </w:pPr>
      <w:r>
        <w:t xml:space="preserve">Teatro Santo Augosto → </w:t>
      </w:r>
      <w:r>
        <w:rPr>
          <w:b/>
        </w:rPr>
        <w:t>Teatro Santo Agostinho</w:t>
      </w:r>
      <w:r>
        <w:t xml:space="preserve"> (confirmado pelo próprio áudio no bloco 8).</w:t>
      </w:r>
    </w:p>
    <w:p>
      <w:pPr>
        <w:pStyle w:val="ListBullet"/>
        <w:ind w:left="360"/>
      </w:pPr>
      <w:r>
        <w:t xml:space="preserve">Terry Fabriz → </w:t>
      </w:r>
      <w:r>
        <w:rPr>
          <w:b/>
        </w:rPr>
        <w:t>Terry Fabris</w:t>
      </w:r>
      <w:r>
        <w:t xml:space="preserve"> (YouTube, upload 24/08/2026). Preço: </w:t>
      </w:r>
      <w:r>
        <w:rPr>
          <w:rFonts w:ascii="Consolas" w:hAnsi="Consolas"/>
          <w:sz w:val="20"/>
        </w:rPr>
        <w:t>[NOTA]</w:t>
      </w:r>
      <w:r>
        <w:t xml:space="preserve"> — anúncio oficial R$ 180 ou 12× de R$ 18,60, contra "10 parcelas de R$ 18" no áudio. </w:t>
      </w:r>
      <w:r>
        <w:rPr>
          <w:b/>
        </w:rPr>
        <w:t>Não silenciado, não corrigido no texto.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Blocos 4 a 6 — Colmeia, Kurzweil e transumanismo</w:t>
      </w:r>
    </w:p>
    <w:p>
      <w:pPr>
        <w:pStyle w:val="ListBullet"/>
        <w:ind w:left="360"/>
      </w:pPr>
      <w:r>
        <w:t xml:space="preserve">A Divina Calmeia → </w:t>
      </w:r>
      <w:r>
        <w:rPr>
          <w:b/>
          <w:i/>
        </w:rPr>
        <w:t>A Divina Colmeia</w:t>
      </w:r>
      <w:r>
        <w:t xml:space="preserve"> (B044).</w:t>
      </w:r>
    </w:p>
    <w:p>
      <w:pPr>
        <w:pStyle w:val="ListBullet"/>
        <w:ind w:left="360"/>
      </w:pPr>
      <w:r>
        <w:t xml:space="preserve">circuito coméico → </w:t>
      </w:r>
      <w:r>
        <w:rPr>
          <w:b/>
        </w:rPr>
        <w:t>circuito colmeico</w:t>
      </w:r>
      <w:r>
        <w:t xml:space="preserve"> (RC-176).</w:t>
      </w:r>
    </w:p>
    <w:p>
      <w:pPr>
        <w:pStyle w:val="ListBullet"/>
        <w:ind w:left="360"/>
      </w:pPr>
      <w:r>
        <w:t xml:space="preserve">Raymond Kzwell / Cselva / Curzell / Crowsa / Curs / Czel / Curser → </w:t>
      </w:r>
      <w:r>
        <w:rPr>
          <w:b/>
        </w:rPr>
        <w:t>Ray Kurzweil</w:t>
      </w:r>
      <w:r>
        <w:t xml:space="preserve"> (9 superfícies distintas colapsadas).</w:t>
      </w:r>
    </w:p>
    <w:p>
      <w:pPr>
        <w:pStyle w:val="ListBullet"/>
        <w:ind w:left="360"/>
      </w:pPr>
      <w:r>
        <w:t xml:space="preserve">Ano do livro: </w:t>
      </w:r>
      <w:r>
        <w:rPr>
          <w:rFonts w:ascii="Consolas" w:hAnsi="Consolas"/>
          <w:sz w:val="20"/>
        </w:rPr>
        <w:t>[NOTA]</w:t>
      </w:r>
      <w:r>
        <w:t xml:space="preserve"> — áudio diz 2007, </w:t>
      </w:r>
      <w:r>
        <w:rPr>
          <w:i/>
        </w:rPr>
        <w:t>The Singularity Is Near</w:t>
      </w:r>
      <w:r>
        <w:t xml:space="preserve"> é de 2005.</w:t>
      </w:r>
    </w:p>
    <w:p>
      <w:pPr>
        <w:pStyle w:val="ListBullet"/>
        <w:ind w:left="360"/>
      </w:pPr>
      <w:r>
        <w:t xml:space="preserve">Datas da singularidade: </w:t>
      </w:r>
      <w:r>
        <w:rPr>
          <w:rFonts w:ascii="Consolas" w:hAnsi="Consolas"/>
          <w:sz w:val="20"/>
        </w:rPr>
        <w:t>[NOTA]</w:t>
      </w:r>
      <w:r>
        <w:t xml:space="preserve"> — 2029 (IA de nível humano) e 2045 (singularidade).</w:t>
      </w:r>
    </w:p>
    <w:p>
      <w:pPr>
        <w:pStyle w:val="ListBullet"/>
        <w:ind w:left="360"/>
      </w:pPr>
      <w:r>
        <w:t xml:space="preserve">Nvid → </w:t>
      </w:r>
      <w:r>
        <w:rPr>
          <w:b/>
        </w:rPr>
        <w:t>Nvidia</w:t>
      </w:r>
      <w:r>
        <w:t xml:space="preserve">; chato GP / chat PT → </w:t>
      </w:r>
      <w:r>
        <w:rPr>
          <w:b/>
        </w:rPr>
        <w:t>ChatGPT</w:t>
      </w:r>
      <w:r>
        <w:t xml:space="preserve">; Antropic → </w:t>
      </w:r>
      <w:r>
        <w:rPr>
          <w:b/>
        </w:rPr>
        <w:t>Anthropic</w:t>
      </w:r>
      <w:r>
        <w:t xml:space="preserve">; Black Rock → </w:t>
      </w:r>
      <w:r>
        <w:rPr>
          <w:b/>
        </w:rPr>
        <w:t>BlackRock</w:t>
      </w:r>
      <w:r>
        <w:t>.</w:t>
      </w:r>
    </w:p>
    <w:p>
      <w:pPr>
        <w:pStyle w:val="ListBullet"/>
        <w:ind w:left="360"/>
      </w:pPr>
      <w:r>
        <w:t xml:space="preserve">as iais / asiais / entre as reais → </w:t>
      </w:r>
      <w:r>
        <w:rPr>
          <w:b/>
        </w:rPr>
        <w:t>as IAs</w:t>
      </w:r>
      <w:r>
        <w:t>.</w:t>
      </w:r>
    </w:p>
    <w:p>
      <w:pPr>
        <w:pStyle w:val="ListBullet"/>
        <w:ind w:left="360"/>
      </w:pPr>
      <w:r>
        <w:t xml:space="preserve">Nick Bostron → </w:t>
      </w:r>
      <w:r>
        <w:rPr>
          <w:b/>
        </w:rPr>
        <w:t>Nick Bostrom</w:t>
      </w:r>
      <w:r>
        <w:t xml:space="preserve">; Utopia Profunda → </w:t>
      </w:r>
      <w:r>
        <w:rPr>
          <w:b/>
          <w:i/>
        </w:rPr>
        <w:t>Deep Utopia</w:t>
      </w:r>
      <w:r>
        <w:t xml:space="preserve"> (2024).</w:t>
      </w:r>
    </w:p>
    <w:p>
      <w:pPr>
        <w:pStyle w:val="ListBullet"/>
        <w:ind w:left="360"/>
      </w:pPr>
      <w:r>
        <w:t xml:space="preserve">Get → </w:t>
      </w:r>
      <w:r>
        <w:rPr>
          <w:b/>
        </w:rPr>
        <w:t>Goethe</w:t>
      </w:r>
      <w:r>
        <w:t xml:space="preserve">; Mefistófiles → </w:t>
      </w:r>
      <w:r>
        <w:rPr>
          <w:b/>
        </w:rPr>
        <w:t>Mefistófeles</w:t>
      </w:r>
      <w:r>
        <w:t xml:space="preserve">; barão de Tararé → </w:t>
      </w:r>
      <w:r>
        <w:rPr>
          <w:b/>
        </w:rPr>
        <w:t>Barão de Itararé</w:t>
      </w:r>
      <w:r>
        <w:t>.</w:t>
      </w:r>
    </w:p>
    <w:p>
      <w:pPr>
        <w:pStyle w:val="ListBullet"/>
        <w:ind w:left="360"/>
      </w:pPr>
      <w:r>
        <w:t xml:space="preserve">Miguel Nicoles → </w:t>
      </w:r>
      <w:r>
        <w:rPr>
          <w:b/>
        </w:rPr>
        <w:t>Miguel Nicolelis</w:t>
      </w:r>
      <w:r>
        <w:t xml:space="preserve">; teta healing → </w:t>
      </w:r>
      <w:r>
        <w:rPr>
          <w:b/>
        </w:rPr>
        <w:t>Theta Healing</w:t>
      </w:r>
      <w:r>
        <w:t>.</w:t>
      </w:r>
    </w:p>
    <w:p>
      <w:pPr>
        <w:pStyle w:val="ListBullet"/>
        <w:ind w:left="360"/>
      </w:pPr>
      <w:r>
        <w:rPr>
          <w:i/>
        </w:rPr>
        <w:t>Dark Enlightenment</w:t>
      </w:r>
      <w:r>
        <w:t xml:space="preserve">, </w:t>
      </w:r>
      <w:r>
        <w:rPr>
          <w:i/>
        </w:rPr>
        <w:t>Great Reset</w:t>
      </w:r>
      <w:r>
        <w:t>, metaverso, big techs, voucher: grafados conforme uso corrente e reportados como lacuna da camada Externos.</w:t>
      </w:r>
    </w:p>
    <w:p>
      <w:pPr>
        <w:pStyle w:val="ListBullet"/>
        <w:ind w:left="360"/>
      </w:pPr>
      <w:r>
        <w:t xml:space="preserve">Trump → </w:t>
      </w:r>
      <w:r>
        <w:rPr>
          <w:b/>
        </w:rPr>
        <w:t>Donald Trump</w:t>
      </w:r>
      <w:r>
        <w:t xml:space="preserve"> na 1ª menção (bloco 4); a forma curta foi preservada nas menções seguintes, inclusive na enumeração "Trump, Putin, Lula" (aceita-parcial).</w:t>
      </w:r>
    </w:p>
    <w:p>
      <w:pPr>
        <w:pStyle w:val="ListBullet"/>
        <w:ind w:left="360"/>
      </w:pPr>
      <w:r>
        <w:t xml:space="preserve">Lei de Gordon War → </w:t>
      </w:r>
      <w:r>
        <w:rPr>
          <w:b/>
        </w:rPr>
        <w:t>Lei de Moore</w:t>
      </w:r>
      <w:r>
        <w:t xml:space="preserve"> na voz do narrador; </w:t>
      </w:r>
      <w:r>
        <w:rPr>
          <w:b/>
        </w:rPr>
        <w:t>"Lei de Gordon Moore" mantida dentro da citação direta</w:t>
      </w:r>
      <w:r>
        <w:t xml:space="preserve">, porque o aposto seguinte ("dono da Intel") se refere à pessoa — decisão documentada em </w:t>
      </w:r>
      <w:r>
        <w:rPr>
          <w:rFonts w:ascii="Consolas" w:hAnsi="Consolas"/>
          <w:sz w:val="20"/>
        </w:rPr>
        <w:t>[NOTA]</w:t>
      </w:r>
      <w:r>
        <w:t xml:space="preserve"> no próprio bloco 4 (aceita-parcial).</w:t>
      </w:r>
    </w:p>
    <w:p>
      <w:pPr>
        <w:pStyle w:val="ListBullet"/>
        <w:ind w:left="360"/>
      </w:pPr>
      <w:r>
        <w:t xml:space="preserve">Grzi → </w:t>
      </w:r>
      <w:r>
        <w:rPr>
          <w:rFonts w:ascii="Consolas" w:hAnsi="Consolas"/>
          <w:sz w:val="20"/>
        </w:rPr>
        <w:t>[A CONFIRMAR]</w:t>
      </w:r>
      <w:r>
        <w:t xml:space="preserve">; conectoma → </w:t>
      </w:r>
      <w:r>
        <w:rPr>
          <w:rFonts w:ascii="Consolas" w:hAnsi="Consolas"/>
          <w:sz w:val="20"/>
        </w:rPr>
        <w:t>[A CONFIRMAR]</w:t>
      </w:r>
      <w:r>
        <w:t xml:space="preserve"> (relacionado a RC-557).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Blocos 7 e 8 — Arcontes, Sophia e o encerramento</w:t>
      </w:r>
    </w:p>
    <w:p>
      <w:pPr>
        <w:pStyle w:val="ListBullet"/>
        <w:ind w:left="360"/>
      </w:pPr>
      <w:r>
        <w:t xml:space="preserve">arcturianos → mantido e </w:t>
      </w:r>
      <w:r>
        <w:rPr>
          <w:b/>
        </w:rPr>
        <w:t>proposto como novo termo</w:t>
      </w:r>
      <w:r>
        <w:t xml:space="preserve"> (ausente da KB).</w:t>
      </w:r>
    </w:p>
    <w:p>
      <w:pPr>
        <w:pStyle w:val="ListBullet"/>
        <w:ind w:left="360"/>
      </w:pPr>
      <w:r>
        <w:t>capelinos → confirmado (RC-007/039/350).</w:t>
      </w:r>
    </w:p>
    <w:p>
      <w:pPr>
        <w:pStyle w:val="ListBullet"/>
        <w:ind w:left="360"/>
      </w:pPr>
      <w:r>
        <w:t xml:space="preserve">espírito mantado → </w:t>
      </w:r>
      <w:r>
        <w:rPr>
          <w:b/>
        </w:rPr>
        <w:t>espírito imantado</w:t>
      </w:r>
      <w:r>
        <w:t xml:space="preserve"> (RC-699).</w:t>
      </w:r>
    </w:p>
    <w:p>
      <w:pPr>
        <w:pStyle w:val="ListBullet"/>
        <w:ind w:left="360"/>
      </w:pPr>
      <w:r>
        <w:t xml:space="preserve">ser silicato / silicados → </w:t>
      </w:r>
      <w:r>
        <w:rPr>
          <w:b/>
        </w:rPr>
        <w:t>seres de sílica / corpos de sílica</w:t>
      </w:r>
      <w:r>
        <w:t xml:space="preserve"> (RC-699).</w:t>
      </w:r>
    </w:p>
    <w:p>
      <w:pPr>
        <w:pStyle w:val="ListBullet"/>
        <w:ind w:left="360"/>
      </w:pPr>
      <w:r>
        <w:t xml:space="preserve">Jah Baal → </w:t>
      </w:r>
      <w:r>
        <w:rPr>
          <w:b/>
        </w:rPr>
        <w:t>Belial</w:t>
      </w:r>
      <w:r>
        <w:t xml:space="preserve"> (RC-479) — </w:t>
      </w:r>
      <w:r>
        <w:rPr>
          <w:rFonts w:ascii="Consolas" w:hAnsi="Consolas"/>
          <w:sz w:val="20"/>
        </w:rPr>
        <w:t>[NOTA]</w:t>
      </w:r>
      <w:r>
        <w:t>: é o próprio Jan quem corrige no áudio.</w:t>
      </w:r>
    </w:p>
    <w:p>
      <w:pPr>
        <w:pStyle w:val="ListBullet"/>
        <w:ind w:left="360"/>
      </w:pPr>
      <w:r>
        <w:t xml:space="preserve">arcontos / arces / arcos / erontes → </w:t>
      </w:r>
      <w:r>
        <w:rPr>
          <w:b/>
        </w:rPr>
        <w:t>Arcontes</w:t>
      </w:r>
      <w:r>
        <w:t xml:space="preserve"> (RC-474), com </w:t>
      </w:r>
      <w:r>
        <w:rPr>
          <w:rFonts w:ascii="Consolas" w:hAnsi="Consolas"/>
          <w:sz w:val="20"/>
        </w:rPr>
        <w:t>[A CONFIRMAR]</w:t>
      </w:r>
      <w:r>
        <w:t xml:space="preserve"> sobre </w:t>
      </w:r>
      <w:r>
        <w:rPr>
          <w:i/>
        </w:rPr>
        <w:t>Archeons de Ereon</w:t>
      </w:r>
      <w:r>
        <w:t xml:space="preserve"> (RC-596).</w:t>
      </w:r>
    </w:p>
    <w:p>
      <w:pPr>
        <w:pStyle w:val="ListBullet"/>
        <w:ind w:left="360"/>
      </w:pPr>
      <w:r>
        <w:t xml:space="preserve">Sofia o Cristo Cosmo Rock → </w:t>
      </w:r>
      <w:r>
        <w:rPr>
          <w:b/>
        </w:rPr>
        <w:t>Sophia, o Cristo Cósmico</w:t>
      </w:r>
      <w:r>
        <w:t xml:space="preserve"> (RC-009; Quarentena </w:t>
      </w:r>
      <w:r>
        <w:rPr>
          <w:rFonts w:ascii="Consolas" w:hAnsi="Consolas"/>
          <w:sz w:val="20"/>
        </w:rPr>
        <w:t>NUNCA "Sofia"</w:t>
      </w:r>
      <w:r>
        <w:t>).</w:t>
      </w:r>
    </w:p>
    <w:p>
      <w:pPr>
        <w:pStyle w:val="ListBullet"/>
        <w:ind w:left="360"/>
      </w:pPr>
      <w:r>
        <w:t xml:space="preserve">Brama Vni → </w:t>
      </w:r>
      <w:r>
        <w:rPr>
          <w:b/>
        </w:rPr>
        <w:t>Brahma, Vishnu</w:t>
      </w:r>
      <w:r>
        <w:t xml:space="preserve">; dinastia das Sofias → </w:t>
      </w:r>
      <w:r>
        <w:rPr>
          <w:b/>
        </w:rPr>
        <w:t>Dinastia das Sophias</w:t>
      </w:r>
      <w:r>
        <w:t xml:space="preserve"> (RC-494).</w:t>
      </w:r>
    </w:p>
    <w:p>
      <w:pPr>
        <w:pStyle w:val="ListBullet"/>
        <w:ind w:left="360"/>
      </w:pPr>
      <w:r>
        <w:t xml:space="preserve">jardim do Édo → </w:t>
      </w:r>
      <w:r>
        <w:rPr>
          <w:b/>
        </w:rPr>
        <w:t>Jardim do Éden</w:t>
      </w:r>
      <w:r>
        <w:t>.</w:t>
      </w:r>
    </w:p>
    <w:p>
      <w:pPr>
        <w:pStyle w:val="ListBullet"/>
        <w:ind w:left="360"/>
      </w:pPr>
      <w:r>
        <w:t xml:space="preserve">Mentalma: </w:t>
      </w:r>
      <w:r>
        <w:rPr>
          <w:rFonts w:ascii="Consolas" w:hAnsi="Consolas"/>
          <w:sz w:val="20"/>
        </w:rPr>
        <w:t>[NOTA]</w:t>
      </w:r>
      <w:r>
        <w:t xml:space="preserve"> — "cinco livros publicados, são oito" contra RC-555 ("5 livros + curso"). Divergência reportada, texto preservado.</w:t>
      </w:r>
    </w:p>
    <w:p>
      <w:pPr>
        <w:pStyle w:val="ListBullet"/>
        <w:ind w:left="360"/>
      </w:pPr>
      <w:r>
        <w:t xml:space="preserve">Rogério: mantido como dito + </w:t>
      </w:r>
      <w:r>
        <w:rPr>
          <w:rFonts w:ascii="Consolas" w:hAnsi="Consolas"/>
          <w:sz w:val="20"/>
        </w:rPr>
        <w:t>[NOTA]</w:t>
      </w:r>
      <w:r>
        <w:t xml:space="preserve"> — indício de nome civil do próprio Jan (1ª pessoa, exemplos em 3ª pessoa).</w:t>
      </w:r>
    </w:p>
    <w:p>
      <w:pPr>
        <w:pStyle w:val="ListBullet"/>
        <w:ind w:left="360"/>
      </w:pPr>
      <w:r>
        <w:t xml:space="preserve">Tatiane Berre → </w:t>
      </w:r>
      <w:r>
        <w:rPr>
          <w:rFonts w:ascii="Consolas" w:hAnsi="Consolas"/>
          <w:sz w:val="20"/>
        </w:rPr>
        <w:t>[A CONFIRMAR]</w:t>
      </w:r>
      <w:r>
        <w:t xml:space="preserve"> (criadora da personagem Tati Quântica).</w:t>
      </w:r>
    </w:p>
    <w:p>
      <w:pPr>
        <w:pStyle w:val="ListBullet"/>
        <w:ind w:left="360"/>
      </w:pPr>
      <w:r>
        <w:t xml:space="preserve">Rezente → </w:t>
      </w:r>
      <w:r>
        <w:rPr>
          <w:rFonts w:ascii="Consolas" w:hAnsi="Consolas"/>
          <w:sz w:val="20"/>
        </w:rPr>
        <w:t>[A CONFIRMAR]</w:t>
      </w:r>
      <w:r>
        <w:t xml:space="preserve"> (local da palestra).</w:t>
      </w:r>
    </w:p>
    <w:p>
      <w:pPr>
        <w:pStyle w:val="ListBullet"/>
        <w:ind w:left="360"/>
      </w:pPr>
      <w:r>
        <w:t xml:space="preserve">"lei da mente e do boda" → </w:t>
      </w:r>
      <w:r>
        <w:rPr>
          <w:rFonts w:ascii="Consolas" w:hAnsi="Consolas"/>
          <w:sz w:val="20"/>
        </w:rPr>
        <w:t>[INAUDÍVEL]</w:t>
      </w:r>
      <w:r>
        <w:t>.</w:t>
      </w:r>
    </w:p>
    <w:p>
      <w:pPr>
        <w:pStyle w:val="ListBullet"/>
        <w:ind w:left="360"/>
      </w:pPr>
      <w:r>
        <w:t xml:space="preserve">Trocadilho "nunca houve um amanhã / a manhã" </w:t>
      </w:r>
      <w:r>
        <w:rPr>
          <w:b/>
        </w:rPr>
        <w:t>preservado</w:t>
      </w:r>
      <w:r>
        <w:t xml:space="preserve"> — recurso retórico, não erro.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3. Falsos positivos e recusas (20 linhas recusada)</w:t>
      </w:r>
    </w:p>
    <w:p>
      <w:pPr>
        <w:jc w:val="both"/>
      </w:pPr>
      <w:r>
        <w:t>As sete recusas emblemáticas — as demais estão motivadas linha a linha no CSV: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Ocorrência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 motor propunha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Decisão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Motivo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"cristã"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cristva (RC-101)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recusada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erro de fuzzy; "cristva" é variante STT, não canônica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"testivara"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estivara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recusada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substring sem sentido; contexto é Avalokiteshvara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"errado nós humanos"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"era dos humanos"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recusada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colisão com vocabulário comum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"a vista"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Avesta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recusada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preposição + artigo, não nome próprio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"Cristo"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Krishna (RC-414)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recusada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entidades distintas; substituição proibida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"Virgin"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RC-104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parcialmente aceita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só dentro da tríade "Brama Virgin Chiva"; fora dela, recusado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"Demiurg"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aceita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ocorrência residual no QA é substring de "Demiurgo"; não é forma proibida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"enoteísmo"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aceita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idem: substring de "henoteísmo"; a forma bruta só aparece dentro da [NOTA]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"ser silicato"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seres de sílica (RC-699)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recusada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palavra legítima usada e glossada pelo próprio autor; vira referencia_oral de RC-699 na Devolução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"Jah Baal"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Belial (RC-479)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aceita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decidido no fim da esteira: o próprio autor emprega Belial adiante, na narrativa de Jó; o corpo foi corrigido e o [A CONFIRMAR] virou [NOTA]</w:t>
            </w:r>
          </w:p>
        </w:tc>
      </w:tr>
    </w:tbl>
    <w:p/>
    <w:p>
      <w:pPr>
        <w:jc w:val="both"/>
      </w:pPr>
      <w:r>
        <w:t xml:space="preserve">Formas proibidas no texto corrido após a revisão: </w:t>
      </w:r>
      <w:r>
        <w:rPr>
          <w:b/>
        </w:rPr>
        <w:t>0</w:t>
      </w:r>
      <w:r>
        <w:t xml:space="preserve">. As ocorrências residuais detectadas pelo QA estão exclusivamente dentro de </w:t>
      </w:r>
      <w:r>
        <w:rPr>
          <w:rFonts w:ascii="Consolas" w:hAnsi="Consolas"/>
          <w:sz w:val="20"/>
        </w:rPr>
        <w:t>[NOTA: …]</w:t>
      </w:r>
      <w:r>
        <w:t xml:space="preserve"> que citam o bruto (Xavé, enoteísmo, Tatiane) — comportamento previsto e desejado.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4. Correções manuais não propostas pelo motor</w:t>
      </w:r>
    </w:p>
    <w:p>
      <w:pPr>
        <w:jc w:val="both"/>
      </w:pPr>
      <w:r>
        <w:t>41 intervenções humanas sem gatilho automático, agrupadas por classe:</w:t>
      </w:r>
    </w:p>
    <w:p>
      <w:pPr>
        <w:pStyle w:val="ListNumber"/>
      </w:pPr>
      <w:r>
        <w:rPr>
          <w:b/>
        </w:rPr>
        <w:t xml:space="preserve">Nomes próprios externos ausentes de </w:t>
      </w:r>
      <w:r>
        <w:rPr>
          <w:rFonts w:ascii="Consolas" w:hAnsi="Consolas"/>
          <w:b/>
          <w:sz w:val="20"/>
        </w:rPr>
        <w:t>externos.csv</w:t>
      </w:r>
      <w:r>
        <w:t xml:space="preserve"> (16): Hobbes, Agostinho de Hipona, Mary Shelley, Goethe, Mefistófeles, Barão de Itararé, Nicolelis, Bostrom, Kurzweil, Nvidia, Anthropic, BlackRock, ChatGPT, QR code, Theta Healing, Siddhartha Gautama.</w:t>
      </w:r>
    </w:p>
    <w:p>
      <w:pPr>
        <w:pStyle w:val="ListNumber"/>
      </w:pPr>
      <w:r>
        <w:rPr>
          <w:b/>
        </w:rPr>
        <w:t>Topônimos e etnônimos</w:t>
      </w:r>
      <w:r>
        <w:t xml:space="preserve"> (5): Kalahari, bosquímanos, Namíbia, Jardim do Éden, Teatro Santo Agostinho.</w:t>
      </w:r>
    </w:p>
    <w:p>
      <w:pPr>
        <w:pStyle w:val="ListNumber"/>
      </w:pPr>
      <w:r>
        <w:rPr>
          <w:b/>
        </w:rPr>
        <w:t>Conceitos da base com superfície não semeada</w:t>
      </w:r>
      <w:r>
        <w:t xml:space="preserve"> (9): circuito colmeico, constituição setenária, Dinastia das Sophias, Imantação, Arcontes, Belial, Sophia/Cristo Cósmico, corpo átmico, seres de sílica.</w:t>
      </w:r>
    </w:p>
    <w:p>
      <w:pPr>
        <w:pStyle w:val="ListNumber"/>
      </w:pPr>
      <w:r>
        <w:rPr>
          <w:b/>
        </w:rPr>
        <w:t>Trocadilhos e recursos retóricos preservados</w:t>
      </w:r>
      <w:r>
        <w:t xml:space="preserve"> (4): "nunca houve um amanhã / a manhã", "planeta-prisão", "colher na Matrix", "Javé 2.0".</w:t>
      </w:r>
    </w:p>
    <w:p>
      <w:pPr>
        <w:pStyle w:val="ListNumber"/>
      </w:pPr>
      <w:r>
        <w:rPr>
          <w:b/>
        </w:rPr>
        <w:t>Números e datas</w:t>
      </w:r>
      <w:r>
        <w:t xml:space="preserve"> (7): 2005/2007, 2029/2045, 2008/2010/2011, R$ 180 / 12× R$ 18,60, 60.000 demissões, 5 vs 8 livros do Mentalma, Gênesis 11 e as 70 nações — todos </w:t>
      </w:r>
      <w:r>
        <w:rPr>
          <w:b/>
        </w:rPr>
        <w:t>preservados como ditos</w:t>
      </w:r>
      <w:r>
        <w:t xml:space="preserve"> e sinalizados com </w:t>
      </w:r>
      <w:r>
        <w:rPr>
          <w:rFonts w:ascii="Consolas" w:hAnsi="Consolas"/>
          <w:sz w:val="20"/>
        </w:rPr>
        <w:t>[NOTA]</w:t>
      </w:r>
      <w:r>
        <w:t xml:space="preserve"> quando divergentes da fonte verificada.</w:t>
      </w:r>
    </w:p>
    <w:p>
      <w:pPr>
        <w:jc w:val="both"/>
      </w:pPr>
      <w:r>
        <w:rPr>
          <w:b/>
        </w:rPr>
        <w:t>Política de números:</w:t>
      </w:r>
      <w:r>
        <w:t xml:space="preserve"> nenhuma cifra foi alterada no corpo. Divergências viram </w:t>
      </w:r>
      <w:r>
        <w:rPr>
          <w:rFonts w:ascii="Consolas" w:hAnsi="Consolas"/>
          <w:sz w:val="20"/>
        </w:rPr>
        <w:t>[NOTA]</w:t>
      </w:r>
      <w:r>
        <w:t xml:space="preserve"> e migram para a §4 da Devolução. Justificativa: a cifra é parte do registro oral e a correção silenciosa quebraria a rastreabilidade.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5. Decisões de forma (desvios documentados do Guia v2)</w:t>
      </w:r>
    </w:p>
    <w:p>
      <w:pPr>
        <w:jc w:val="both"/>
      </w:pPr>
      <w:r>
        <w:t xml:space="preserve">Detalhadas em </w:t>
      </w:r>
      <w:r>
        <w:rPr>
          <w:rFonts w:ascii="Consolas" w:hAnsi="Consolas"/>
          <w:sz w:val="20"/>
        </w:rPr>
        <w:t>20-blocos/notas-de-revisao.md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Guia v2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Adotado nos blocos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Justificativa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Diarização (§9)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rótulo do falante em linha própria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rótulo em negrito inline, no início do parágrafo do turno — [GURU DE MALÁ] texto…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opção B do despacho (rótulos inferidos explícitos); o inline preserva o fluxo de leitura no .docx e evita 143 linhas-órfãs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Guia de fontes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resumo automático no cabeçalho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removido do produto final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despacho do Comandante; cabeçalho original = linhas 0–11, corpo = linha 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Anúncios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preservados no corpo, marcados [ANÚNCIO]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despacho do Comandante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Disfluência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níveis leve/médio/pesado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nível LEVE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despacho: remover repetições imediatas e "né/eh/uhum", preservar sintaxe e identidade oral</w:t>
            </w:r>
          </w:p>
        </w:tc>
      </w:tr>
    </w:tbl>
    <w:p/>
    <w:p>
      <w:pPr>
        <w:jc w:val="both"/>
      </w:pPr>
      <w:r>
        <w:t xml:space="preserve">Rótulos usados: </w:t>
      </w:r>
      <w:r>
        <w:rPr>
          <w:rFonts w:ascii="Consolas" w:hAnsi="Consolas"/>
          <w:sz w:val="20"/>
        </w:rPr>
        <w:t>[GURU DE MALÁ]</w:t>
      </w:r>
      <w:r>
        <w:t xml:space="preserve"> 42×, </w:t>
      </w:r>
      <w:r>
        <w:rPr>
          <w:rFonts w:ascii="Consolas" w:hAnsi="Consolas"/>
          <w:sz w:val="20"/>
        </w:rPr>
        <w:t>[ALEXANDRE SHERMINATOR]</w:t>
      </w:r>
      <w:r>
        <w:t xml:space="preserve">, </w:t>
      </w:r>
      <w:r>
        <w:rPr>
          <w:rFonts w:ascii="Consolas" w:hAnsi="Consolas"/>
          <w:sz w:val="20"/>
        </w:rPr>
        <w:t>[JAN VAL ELLAM]</w:t>
      </w:r>
      <w:r>
        <w:t xml:space="preserve">, </w:t>
      </w:r>
      <w:r>
        <w:rPr>
          <w:rFonts w:ascii="Consolas" w:hAnsi="Consolas"/>
          <w:sz w:val="20"/>
        </w:rPr>
        <w:t>[FALANTE?]</w:t>
      </w:r>
      <w:r>
        <w:t xml:space="preserve"> 1×.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5.1 Ajustes nas ferramentas, feitos durante esta revisão</w:t>
      </w:r>
    </w:p>
    <w:p>
      <w:pPr>
        <w:jc w:val="both"/>
      </w:pPr>
      <w:r>
        <w:t>Dois defeitos do pipeline apareceram só quando o texto real passou por ele, e foram corrigidos na esteira — não são gambiarras pontuais:</w:t>
      </w:r>
    </w:p>
    <w:p>
      <w:pPr>
        <w:pStyle w:val="ListNumber"/>
      </w:pPr>
      <w:r>
        <w:rPr>
          <w:rFonts w:ascii="Consolas" w:hAnsi="Consolas"/>
          <w:b/>
          <w:sz w:val="20"/>
        </w:rPr>
        <w:t>rc_docx.py --validar</w:t>
      </w:r>
      <w:r>
        <w:rPr>
          <w:b/>
        </w:rPr>
        <w:t xml:space="preserve"> cobrava falsos positivos.</w:t>
      </w:r>
      <w:r>
        <w:t xml:space="preserve"> O validador exigia a substituição de toda linha </w:t>
      </w:r>
      <w:r>
        <w:rPr>
          <w:rFonts w:ascii="Consolas" w:hAnsi="Consolas"/>
          <w:sz w:val="20"/>
        </w:rPr>
        <w:t>aprovada</w:t>
      </w:r>
      <w:r>
        <w:t>/</w:t>
      </w:r>
      <w:r>
        <w:rPr>
          <w:rFonts w:ascii="Consolas" w:hAnsi="Consolas"/>
          <w:sz w:val="20"/>
        </w:rPr>
        <w:t>proposta</w:t>
      </w:r>
      <w:r>
        <w:t xml:space="preserve">, inclusive as 20 recusas documentadas. Como o QA devolve </w:t>
      </w:r>
      <w:r>
        <w:rPr>
          <w:i/>
        </w:rPr>
        <w:t>exit code</w:t>
      </w:r>
      <w:r>
        <w:t xml:space="preserve"> 1, o revisor era empurrado a corromper o texto para satisfazer a máquina — exatamente o que o Guia v2 §10 proíbe. Correção: o CSV passa a carregar as colunas </w:t>
      </w:r>
      <w:r>
        <w:rPr>
          <w:rFonts w:ascii="Consolas" w:hAnsi="Consolas"/>
          <w:sz w:val="20"/>
        </w:rPr>
        <w:t>adjudicacao</w:t>
      </w:r>
      <w:r>
        <w:t xml:space="preserve"> e </w:t>
      </w:r>
      <w:r>
        <w:rPr>
          <w:rFonts w:ascii="Consolas" w:hAnsi="Consolas"/>
          <w:sz w:val="20"/>
        </w:rPr>
        <w:t>motivo_adjudicacao</w:t>
      </w:r>
      <w:r>
        <w:t xml:space="preserve">, e o validador só cobra </w:t>
      </w:r>
      <w:r>
        <w:rPr>
          <w:rFonts w:ascii="Consolas" w:hAnsi="Consolas"/>
          <w:sz w:val="20"/>
        </w:rPr>
        <w:t>adjudicacao == "aceita"</w:t>
      </w:r>
      <w:r>
        <w:t>. Sem a coluna, o comportamento antigo permanece (compatível com pipelines legados).</w:t>
      </w:r>
    </w:p>
    <w:p>
      <w:pPr>
        <w:pStyle w:val="ListNumber"/>
      </w:pPr>
      <w:r>
        <w:rPr>
          <w:b/>
        </w:rPr>
        <w:t xml:space="preserve">O validador lia o conteúdo das </w:t>
      </w:r>
      <w:r>
        <w:rPr>
          <w:rFonts w:ascii="Consolas" w:hAnsi="Consolas"/>
          <w:b/>
          <w:sz w:val="20"/>
        </w:rPr>
        <w:t>[NOTA]</w:t>
      </w:r>
      <w:r>
        <w:rPr>
          <w:b/>
        </w:rPr>
        <w:t>.</w:t>
      </w:r>
      <w:r>
        <w:t xml:space="preserve"> Uma </w:t>
      </w:r>
      <w:r>
        <w:rPr>
          <w:rFonts w:ascii="Consolas" w:hAnsi="Consolas"/>
          <w:sz w:val="20"/>
        </w:rPr>
        <w:t>[NOTA]</w:t>
      </w:r>
      <w:r>
        <w:t xml:space="preserve"> que documenta a forma ouvida ("no bruto, </w:t>
      </w:r>
      <w:r>
        <w:rPr>
          <w:i/>
        </w:rPr>
        <w:t>Xavé</w:t>
      </w:r>
      <w:r>
        <w:t xml:space="preserve">") é evidência, não erro. Agora </w:t>
      </w:r>
      <w:r>
        <w:rPr>
          <w:rFonts w:ascii="Consolas" w:hAnsi="Consolas"/>
          <w:sz w:val="20"/>
        </w:rPr>
        <w:t>MARCADOR_RE</w:t>
      </w:r>
      <w:r>
        <w:t xml:space="preserve"> expurga </w:t>
      </w:r>
      <w:r>
        <w:rPr>
          <w:rFonts w:ascii="Consolas" w:hAnsi="Consolas"/>
          <w:sz w:val="20"/>
        </w:rPr>
        <w:t>[NOTA:]</w:t>
      </w:r>
      <w:r>
        <w:t xml:space="preserve">, </w:t>
      </w:r>
      <w:r>
        <w:rPr>
          <w:rFonts w:ascii="Consolas" w:hAnsi="Consolas"/>
          <w:sz w:val="20"/>
        </w:rPr>
        <w:t>[A CONFIRMAR:]</w:t>
      </w:r>
      <w:r>
        <w:t xml:space="preserve">, </w:t>
      </w:r>
      <w:r>
        <w:rPr>
          <w:rFonts w:ascii="Consolas" w:hAnsi="Consolas"/>
          <w:sz w:val="20"/>
        </w:rPr>
        <w:t>[INAUDÍVEL:]</w:t>
      </w:r>
      <w:r>
        <w:t xml:space="preserve"> e </w:t>
      </w:r>
      <w:r>
        <w:rPr>
          <w:rFonts w:ascii="Consolas" w:hAnsi="Consolas"/>
          <w:sz w:val="20"/>
        </w:rPr>
        <w:t>[ANÚNCIO]</w:t>
      </w:r>
      <w:r>
        <w:t xml:space="preserve"> antes da varredura — o que preserva a política de rastreabilidade: a forma bruta continua visível para o curador, mas não conta como sobrevivência indevida.</w:t>
      </w:r>
    </w:p>
    <w:p>
      <w:pPr>
        <w:pStyle w:val="ListNumber"/>
      </w:pPr>
      <w:r>
        <w:rPr>
          <w:b/>
        </w:rPr>
        <w:t>Normalização e caixa.</w:t>
      </w:r>
      <w:r>
        <w:t xml:space="preserve"> O </w:t>
      </w:r>
      <w:r>
        <w:rPr>
          <w:rFonts w:ascii="Consolas" w:hAnsi="Consolas"/>
          <w:sz w:val="20"/>
        </w:rPr>
        <w:t>L.norm()</w:t>
      </w:r>
      <w:r>
        <w:t xml:space="preserve"> do motor ignora maiúsculas, então a semente </w:t>
      </w:r>
      <w:r>
        <w:rPr>
          <w:rFonts w:ascii="Consolas" w:hAnsi="Consolas"/>
          <w:sz w:val="20"/>
        </w:rPr>
        <w:t>mit → MIT</w:t>
      </w:r>
      <w:r>
        <w:t xml:space="preserve"> era reportada como "variante sobrevivente" mesmo com o texto grafando </w:t>
      </w:r>
      <w:r>
        <w:rPr>
          <w:b/>
        </w:rPr>
        <w:t>MIT</w:t>
      </w:r>
      <w:r>
        <w:t xml:space="preserve"> corretamente. Essas 16 linhas viraram </w:t>
      </w:r>
      <w:r>
        <w:rPr>
          <w:rFonts w:ascii="Consolas" w:hAnsi="Consolas"/>
          <w:sz w:val="20"/>
        </w:rPr>
        <w:t>adjudicacao = protecao</w:t>
      </w:r>
      <w:r>
        <w:t xml:space="preserve"> e saíram da cobrança.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6. QA final</w:t>
      </w:r>
    </w:p>
    <w:p>
      <w:pPr>
        <w:jc w:val="both"/>
      </w:pPr>
      <w:r>
        <w:t>Mesmo tokenizador nas duas colunas (palavras = sequência de letras/dígitos/apóstrofo).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Bruto (linha 13 do .txt)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Revisado (8 blocos)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Palavras, texto corrido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18.806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18.966 (100,9%)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Palavras, com marcadores editoriais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19.890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Parágrafos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 (sem quebras)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143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Vírgulas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 (STT sem pontuação)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1.909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Pontos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789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Interrogações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167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Palavras repetidas em sequência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Formas proibidas no texto corrido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[NOTA]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32 (em itálico, corpo 11 pt, no .docx)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[A CONFIRMAR]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[INAUDÍVEL]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Rótulos de fala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[JAN VAL ELLAM] 64 · [GURU DE MALÁ] 42 · [ALEXANDRE SHERMINATOR] 36 · [ANÚNCIO] 4 · [FALANTE?]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Validador rc_docx.py --validar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OK: nenhuma variante aceita sobrevive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Linhas do livro-razão sem decisão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</w:tr>
    </w:tbl>
    <w:p/>
    <w:p>
      <w:pPr>
        <w:jc w:val="both"/>
      </w:pPr>
      <w:r>
        <w:rPr>
          <w:b/>
        </w:rPr>
        <w:t>Duas ressalvas de leitura do QA.</w:t>
      </w:r>
      <w:r>
        <w:t xml:space="preserve"> (1) A retenção acima de 100% vem dos marcadores editoriais e da pontuação inserida, não de acréscimo de conteúdo: descontados os marcadores, o corpo fica em 100,9% do bruto — o 0,9% são conjunções e artigos necessários para fechar as orações que o STT entregava soltas. (2) Uma varredura ingênua por formas proibidas ainda acusa </w:t>
      </w:r>
      <w:r>
        <w:rPr>
          <w:i/>
        </w:rPr>
        <w:t>Demiurg</w:t>
      </w:r>
      <w:r>
        <w:t xml:space="preserve"> (6×) e </w:t>
      </w:r>
      <w:r>
        <w:rPr>
          <w:i/>
        </w:rPr>
        <w:t>enoteísmo</w:t>
      </w:r>
      <w:r>
        <w:t xml:space="preserve"> (1×): são </w:t>
      </w:r>
      <w:r>
        <w:rPr>
          <w:b/>
        </w:rPr>
        <w:t>substrings</w:t>
      </w:r>
      <w:r>
        <w:t xml:space="preserve"> de </w:t>
      </w:r>
      <w:r>
        <w:rPr>
          <w:i/>
        </w:rPr>
        <w:t>Demiurgo</w:t>
      </w:r>
      <w:r>
        <w:t xml:space="preserve"> e </w:t>
      </w:r>
      <w:r>
        <w:rPr>
          <w:i/>
        </w:rPr>
        <w:t>henoteísmo</w:t>
      </w:r>
      <w:r>
        <w:t xml:space="preserve">, não ocorrências reais — o QA correto exige fronteira de palavra. Feita essa exigência, a única forma remanescente é </w:t>
      </w:r>
      <w:r>
        <w:rPr>
          <w:i/>
        </w:rPr>
        <w:t>silicato</w:t>
      </w:r>
      <w:r>
        <w:t xml:space="preserve">, </w:t>
      </w:r>
      <w:r>
        <w:rPr>
          <w:b/>
        </w:rPr>
        <w:t>mantida de propósito</w:t>
      </w:r>
      <w:r>
        <w:t>: é o termo que o próprio autor usa e glossa em seguida ("ser silicato, ou seja, ser feito de sílica").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7. Encaminhamento</w:t>
      </w:r>
    </w:p>
    <w:p>
      <w:pPr>
        <w:pStyle w:val="ListNumber"/>
      </w:pPr>
      <w:r>
        <w:rPr>
          <w:rFonts w:ascii="Consolas" w:hAnsi="Consolas"/>
          <w:sz w:val="20"/>
        </w:rPr>
        <w:t>devolucao-a-kb.md</w:t>
      </w:r>
      <w:r>
        <w:t xml:space="preserve"> — 4 seções obrigatórias (novos termos, novas variantes STT, correções na KB, novos registros bibliográficos) + divergências factuais.</w:t>
      </w:r>
    </w:p>
    <w:p>
      <w:pPr>
        <w:pStyle w:val="ListNumber"/>
      </w:pPr>
      <w:r>
        <w:t>Itens 11 a 18 da Devolução somam-se às 10 ações residuais do Anexo I (</w:t>
      </w:r>
      <w:r>
        <w:rPr>
          <w:rFonts w:ascii="Consolas" w:hAnsi="Consolas"/>
          <w:sz w:val="20"/>
        </w:rPr>
        <w:t>docs/normas/resolucao-de-conflitos.md</w:t>
      </w:r>
      <w:r>
        <w:t xml:space="preserve">) — </w:t>
      </w:r>
      <w:r>
        <w:rPr>
          <w:b/>
        </w:rPr>
        <w:t>a cargo do curador</w:t>
      </w:r>
      <w:r>
        <w:t>, não desta esteira.</w:t>
      </w:r>
    </w:p>
    <w:p>
      <w:pPr>
        <w:pStyle w:val="ListNumber"/>
      </w:pPr>
      <w:r>
        <w:t xml:space="preserve">Ficha de Jeane Miranda, B095 e demais pendências da KB — </w:t>
      </w:r>
      <w:r>
        <w:rPr>
          <w:b/>
        </w:rPr>
        <w:t>assumidas pelo Comandante</w:t>
      </w:r>
      <w:r>
        <w:t>; não bloqueiam a entrega.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